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874A7">
      <w:pPr>
        <w:rPr>
          <w:b/>
          <w:bCs/>
          <w:sz w:val="36"/>
          <w:u w:val="single"/>
        </w:rPr>
      </w:pPr>
      <w:bookmarkStart w:id="0" w:name="_GoBack"/>
      <w:bookmarkEnd w:id="0"/>
      <w:r>
        <w:rPr>
          <w:b/>
          <w:bCs/>
          <w:sz w:val="36"/>
          <w:u w:val="single"/>
        </w:rPr>
        <w:t>Artikelgesetz / Umsetzung der UVP- und IVU-Richtlinie</w:t>
      </w:r>
    </w:p>
    <w:p w:rsidR="00000000" w:rsidRDefault="00F874A7">
      <w:pPr>
        <w:rPr>
          <w:b/>
          <w:bCs/>
          <w:sz w:val="36"/>
          <w:u w:val="single"/>
        </w:rPr>
      </w:pPr>
    </w:p>
    <w:p w:rsidR="00000000" w:rsidRDefault="00F874A7">
      <w:r>
        <w:t xml:space="preserve">Mit dem Inkrafttreten des </w:t>
      </w:r>
      <w:r>
        <w:rPr>
          <w:b/>
          <w:bCs/>
        </w:rPr>
        <w:t>Gesetzes zur Umsetzung der UVP-Änderungsrichtlinie, der IVU-Richtlinie und weiterer EG-Richtlinien am 03.08.2001</w:t>
      </w:r>
      <w:r>
        <w:t xml:space="preserve"> wurden die EU Richtlinien </w:t>
      </w:r>
      <w:r>
        <w:rPr>
          <w:i/>
          <w:iCs/>
        </w:rPr>
        <w:t xml:space="preserve">über die </w:t>
      </w:r>
      <w:r>
        <w:rPr>
          <w:b/>
          <w:bCs/>
          <w:i/>
          <w:iCs/>
        </w:rPr>
        <w:t>U</w:t>
      </w:r>
      <w:r>
        <w:rPr>
          <w:i/>
          <w:iCs/>
        </w:rPr>
        <w:t>mwelt</w:t>
      </w:r>
      <w:r>
        <w:rPr>
          <w:b/>
          <w:bCs/>
          <w:i/>
          <w:iCs/>
        </w:rPr>
        <w:t>v</w:t>
      </w:r>
      <w:r>
        <w:rPr>
          <w:i/>
          <w:iCs/>
        </w:rPr>
        <w:t>erträglichkeits</w:t>
      </w:r>
      <w:r>
        <w:rPr>
          <w:b/>
          <w:bCs/>
          <w:i/>
          <w:iCs/>
        </w:rPr>
        <w:t>p</w:t>
      </w:r>
      <w:r>
        <w:rPr>
          <w:i/>
          <w:iCs/>
        </w:rPr>
        <w:t>rüfu</w:t>
      </w:r>
      <w:r>
        <w:rPr>
          <w:i/>
          <w:iCs/>
        </w:rPr>
        <w:t>ng bei bestimmten öffentlichen und privaten Pr</w:t>
      </w:r>
      <w:r>
        <w:rPr>
          <w:i/>
          <w:iCs/>
        </w:rPr>
        <w:t>o</w:t>
      </w:r>
      <w:r>
        <w:rPr>
          <w:i/>
          <w:iCs/>
        </w:rPr>
        <w:t>jekten</w:t>
      </w:r>
      <w:r>
        <w:t xml:space="preserve"> </w:t>
      </w:r>
      <w:r>
        <w:rPr>
          <w:i/>
          <w:iCs/>
        </w:rPr>
        <w:t>(UVP)</w:t>
      </w:r>
      <w:r>
        <w:t xml:space="preserve"> und </w:t>
      </w:r>
      <w:r>
        <w:rPr>
          <w:i/>
          <w:iCs/>
        </w:rPr>
        <w:t xml:space="preserve">über die </w:t>
      </w:r>
      <w:r>
        <w:rPr>
          <w:b/>
          <w:bCs/>
          <w:i/>
          <w:iCs/>
        </w:rPr>
        <w:t>i</w:t>
      </w:r>
      <w:r>
        <w:rPr>
          <w:i/>
          <w:iCs/>
        </w:rPr>
        <w:t xml:space="preserve">ntegrierte </w:t>
      </w:r>
      <w:r>
        <w:rPr>
          <w:b/>
          <w:bCs/>
          <w:i/>
          <w:iCs/>
        </w:rPr>
        <w:t>V</w:t>
      </w:r>
      <w:r>
        <w:rPr>
          <w:i/>
          <w:iCs/>
        </w:rPr>
        <w:t xml:space="preserve">ermeidung und Verminderung der </w:t>
      </w:r>
      <w:r>
        <w:rPr>
          <w:b/>
          <w:bCs/>
          <w:i/>
          <w:iCs/>
        </w:rPr>
        <w:t>U</w:t>
      </w:r>
      <w:r>
        <w:rPr>
          <w:i/>
          <w:iCs/>
        </w:rPr>
        <w:t>mweltverschmu</w:t>
      </w:r>
      <w:r>
        <w:rPr>
          <w:i/>
          <w:iCs/>
        </w:rPr>
        <w:t>t</w:t>
      </w:r>
      <w:r>
        <w:rPr>
          <w:i/>
          <w:iCs/>
        </w:rPr>
        <w:t>zung (IVU)</w:t>
      </w:r>
      <w:r>
        <w:t>in nationales Recht umgesetzt. Geändert wurden u.a. das Bundesimmissionsschut</w:t>
      </w:r>
      <w:r>
        <w:t>z</w:t>
      </w:r>
      <w:r>
        <w:t>gesetz, das Gesetz über die Umweltve</w:t>
      </w:r>
      <w:r>
        <w:t>rträglichkeitsprüfung, die Verordnung über gene</w:t>
      </w:r>
      <w:r>
        <w:t>h</w:t>
      </w:r>
      <w:r>
        <w:t>migungsbedürftige Anlagen (4. BImSch-Verordnung) und über das Genehmigungsverfa</w:t>
      </w:r>
      <w:r>
        <w:t>h</w:t>
      </w:r>
      <w:r>
        <w:t>ren (9. BImSch-Verordnung).</w:t>
      </w:r>
    </w:p>
    <w:p w:rsidR="00000000" w:rsidRDefault="00F874A7"/>
    <w:p w:rsidR="00000000" w:rsidRDefault="00F874A7"/>
    <w:p w:rsidR="00000000" w:rsidRDefault="00F874A7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Neu ist </w:t>
      </w:r>
    </w:p>
    <w:p w:rsidR="00000000" w:rsidRDefault="00F874A7">
      <w:pPr>
        <w:numPr>
          <w:ilvl w:val="0"/>
          <w:numId w:val="2"/>
        </w:numPr>
      </w:pPr>
      <w:r>
        <w:t xml:space="preserve">Die Ausweitung der BImSch-Pflicht auf die Rinder- und Pelztierhaltung. </w:t>
      </w:r>
    </w:p>
    <w:p w:rsidR="00000000" w:rsidRDefault="00F874A7">
      <w:pPr>
        <w:numPr>
          <w:ilvl w:val="0"/>
          <w:numId w:val="2"/>
        </w:numPr>
      </w:pPr>
      <w:r>
        <w:t>Die Bindung der B</w:t>
      </w:r>
      <w:r>
        <w:t>ImSch-Pflicht an den Tierbesatz von über 2 GV/ha bei Plätzen für 50 GV und mehr.</w:t>
      </w:r>
    </w:p>
    <w:p w:rsidR="00000000" w:rsidRDefault="00F874A7">
      <w:pPr>
        <w:numPr>
          <w:ilvl w:val="0"/>
          <w:numId w:val="2"/>
        </w:numPr>
      </w:pPr>
      <w:r>
        <w:t>Die Einführung einer Vorprüfung, inwieweit das Vorhaben erhebliche nachteilige U</w:t>
      </w:r>
      <w:r>
        <w:t>m</w:t>
      </w:r>
      <w:r>
        <w:t>weltauswirkungen haben kann und aufgrund dessen die eventuelle Forderung einer Umweltverträgli</w:t>
      </w:r>
      <w:r>
        <w:t>chkeitsprüfung. Gesichtspunkte der Vorprüfung sind Merkmale des Vo</w:t>
      </w:r>
      <w:r>
        <w:t>r</w:t>
      </w:r>
      <w:r>
        <w:t>habens (u.a. Größe, Umweltverschmutzung und Belästigung), Standort des Vorhabens (ökologische Empfindlichkeit eines Gebietes z.B. Natur-, Wasserschutzgebiet oder FFH-Gebiet) und deren mögli</w:t>
      </w:r>
      <w:r>
        <w:t>che Auswirkungen.</w:t>
      </w:r>
    </w:p>
    <w:p w:rsidR="00000000" w:rsidRDefault="00F874A7">
      <w:pPr>
        <w:numPr>
          <w:ilvl w:val="0"/>
          <w:numId w:val="2"/>
        </w:numPr>
      </w:pPr>
      <w:r>
        <w:t>Die Einführung der UVP-Pflicht für „kumulierende Vorhaben“: Vorhaben derselben Art, die in einem engen Zusammenhang stehen und zusammen die maßgeblichen Schwe</w:t>
      </w:r>
      <w:r>
        <w:t>l</w:t>
      </w:r>
      <w:r>
        <w:t>lenwe</w:t>
      </w:r>
      <w:r>
        <w:t>r</w:t>
      </w:r>
      <w:r>
        <w:t xml:space="preserve">te für die UVP-Pflicht erreichen oder überschreiten. </w:t>
      </w:r>
    </w:p>
    <w:p w:rsidR="00000000" w:rsidRDefault="00F874A7"/>
    <w:p w:rsidR="00000000" w:rsidRDefault="00F874A7"/>
    <w:p w:rsidR="00000000" w:rsidRDefault="00F874A7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Änderung der 4. B</w:t>
      </w:r>
      <w:r>
        <w:rPr>
          <w:b/>
          <w:bCs/>
          <w:sz w:val="28"/>
          <w:u w:val="single"/>
        </w:rPr>
        <w:t>ImSchV / Genehmigungsbedürftigkeit nach BImSchG</w:t>
      </w:r>
    </w:p>
    <w:p w:rsidR="00000000" w:rsidRDefault="00F874A7">
      <w:r>
        <w:t>Mit der Änderung der 4. BImSchV vom 14.03.1997 wurde bereits ein Teil der IVU-Richtlinie umgesetzt. Die Tierplatzzahlen für die Genehmigungsbedürftigkeit nach BImschG wurden damals drastisch angehoben und die</w:t>
      </w:r>
      <w:r>
        <w:t xml:space="preserve"> Auswirkungen des leidigen „Ferkelurteils“ („Ein A</w:t>
      </w:r>
      <w:r>
        <w:t>b</w:t>
      </w:r>
      <w:r>
        <w:t xml:space="preserve">setzferkel ist einem Mastschwein gleichzusetzen“) korrigiert. </w:t>
      </w:r>
    </w:p>
    <w:p w:rsidR="00000000" w:rsidRDefault="00F874A7"/>
    <w:p w:rsidR="00000000" w:rsidRDefault="00F874A7">
      <w:r>
        <w:t>Die Neufassung der 4. BImSchV sieht eine Zweistufigkeit beim BImSch-Genehmigungsver-fahren für Intensivtierhaltungen vor. Für Tierplatzzahlen</w:t>
      </w:r>
      <w:r>
        <w:t xml:space="preserve"> nach Spalte 1 des Anhangs der 4. BImSchV, jetzt auch für große Rinder- und Pelztierbestände (Tabelle Spalte l) ist ein för</w:t>
      </w:r>
      <w:r>
        <w:t>m</w:t>
      </w:r>
      <w:r>
        <w:t>liches Verfahren mit Öffentlichkeitsbeteiligung vorgesehen. Ein vereinfachtes Verfa</w:t>
      </w:r>
      <w:r>
        <w:t>h</w:t>
      </w:r>
      <w:r>
        <w:t>ren soll durchgeführt werden, wenn die Tierplatz</w:t>
      </w:r>
      <w:r>
        <w:t>zahlen mehr als 75 % dieser Schwelle</w:t>
      </w:r>
      <w:r>
        <w:t>n</w:t>
      </w:r>
      <w:r>
        <w:t>werte erreichen (Tabelle Spalte ll), für Rinder ist die Genehmigungsbedürftigkeit eher erreicht. So ist z.B. ein förmliches BImSch-Verfahren mit Öffentlichkeitsbeteiligung für Mastschwe</w:t>
      </w:r>
      <w:r>
        <w:t>i</w:t>
      </w:r>
      <w:r>
        <w:t>ne ab 2000 Plätze, für Ri</w:t>
      </w:r>
      <w:r>
        <w:t>n</w:t>
      </w:r>
      <w:r>
        <w:t>der (ne</w:t>
      </w:r>
      <w:r>
        <w:t>u) ab 350 Plätze erforderlich, ein vereinfachtes Verfahren für Mastschweine ab 1500 Plätze, für Rinder ab 250 Plätze.</w:t>
      </w:r>
    </w:p>
    <w:p w:rsidR="00000000" w:rsidRDefault="00F874A7"/>
    <w:p w:rsidR="00000000" w:rsidRDefault="00F874A7"/>
    <w:p w:rsidR="00000000" w:rsidRDefault="00F874A7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Umweltverträglichkeitsprüfung</w:t>
      </w:r>
    </w:p>
    <w:p w:rsidR="00000000" w:rsidRDefault="00F874A7">
      <w:r>
        <w:t>Zusätzlich ist ab 2000 Mastschweineplätze generell eine Umweltverträglichkeitsprüfung durchzuführen, ab 15</w:t>
      </w:r>
      <w:r>
        <w:t>00 Plätze wird in einer standortbezogenen Vorprüfung festgestellt, ob die Antragsunterlagen um eine Umweltverträglichkeitsprüfung (UVP) ergänzt werden mü</w:t>
      </w:r>
      <w:r>
        <w:t>s</w:t>
      </w:r>
      <w:r>
        <w:t>sen. Unter 1500 Plätze wird die Anlage nach BImSchG ebenfalls genehmigungsbedürftig, wenn die Tierplat</w:t>
      </w:r>
      <w:r>
        <w:t xml:space="preserve">zzahl 50 GV erreicht und gleichzeitig der Tierbesatz über 2 GV/ha liegt. </w:t>
      </w:r>
      <w:r>
        <w:lastRenderedPageBreak/>
        <w:t>Zusätzlich ist eine UVP erforderlich, wenn in einer allgemeinen Vorprüfung fes</w:t>
      </w:r>
      <w:r>
        <w:t>t</w:t>
      </w:r>
      <w:r>
        <w:t>gestellt wird, dass erhebliche nachteilige Umweltauswi</w:t>
      </w:r>
      <w:r>
        <w:t>r</w:t>
      </w:r>
      <w:r>
        <w:t xml:space="preserve">kungen zu befürchten sind. </w:t>
      </w:r>
    </w:p>
    <w:p w:rsidR="00000000" w:rsidRDefault="00F874A7"/>
    <w:p w:rsidR="00000000" w:rsidRDefault="00F874A7">
      <w:r>
        <w:t>Mit der UVP-Richtlin</w:t>
      </w:r>
      <w:r>
        <w:t>ie beabsichtigte die EU, die wichtigsten Grundsätze für die Prüfung von Umwel</w:t>
      </w:r>
      <w:r>
        <w:t>t</w:t>
      </w:r>
      <w:r>
        <w:t>auswirkungen zu harmonisieren und Mindestanforderungen aufzustellen. Den Mitgliedstaaten bleibt es überlassen, im eigenen Land höhere Anforderungen an Vo</w:t>
      </w:r>
      <w:r>
        <w:t>r</w:t>
      </w:r>
      <w:r>
        <w:t xml:space="preserve">haben zu stellen, wovon </w:t>
      </w:r>
      <w:r>
        <w:t xml:space="preserve">Deutschland Gebrauch gemacht hat (s. Tab. Spalte lll und lV). </w:t>
      </w:r>
    </w:p>
    <w:p w:rsidR="00000000" w:rsidRDefault="00F874A7"/>
    <w:p w:rsidR="00000000" w:rsidRDefault="00F874A7">
      <w:r>
        <w:t>Als Trägerverfa</w:t>
      </w:r>
      <w:r>
        <w:t>h</w:t>
      </w:r>
      <w:r>
        <w:t>ren für eine Umweltverträglichkeitsprüfung wird das BImSch-Verfahren benötigt, das Ba</w:t>
      </w:r>
      <w:r>
        <w:t>u</w:t>
      </w:r>
      <w:r>
        <w:t>rechtsverfahren sieht keine UVP vor. Dies dürfte mit dazu beigetragen haben, die Schwellen</w:t>
      </w:r>
      <w:r>
        <w:t>werte (Tierplatzzahlen) der 4. BImSchV zu se</w:t>
      </w:r>
      <w:r>
        <w:t>n</w:t>
      </w:r>
      <w:r>
        <w:t xml:space="preserve">ken. </w:t>
      </w:r>
    </w:p>
    <w:p w:rsidR="00000000" w:rsidRDefault="00F874A7"/>
    <w:p w:rsidR="00000000" w:rsidRDefault="00F874A7"/>
    <w:p w:rsidR="00000000" w:rsidRDefault="00F874A7">
      <w:pPr>
        <w:rPr>
          <w:b/>
          <w:bCs/>
        </w:rPr>
      </w:pPr>
      <w:r>
        <w:rPr>
          <w:b/>
          <w:bCs/>
        </w:rPr>
        <w:t>Tabelle: Schwellenwerte für BImSch-Verfahren und UVP-Verfahren:</w:t>
      </w:r>
    </w:p>
    <w:p w:rsidR="00000000" w:rsidRDefault="00F874A7"/>
    <w:p w:rsidR="00000000" w:rsidRDefault="00F874A7">
      <w:pPr>
        <w:jc w:val="center"/>
      </w:pPr>
      <w:r>
        <w:object w:dxaOrig="8856" w:dyaOrig="61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5pt;height:306.75pt" o:ole="">
            <v:imagedata r:id="rId7" o:title=""/>
          </v:shape>
          <o:OLEObject Type="Embed" ProgID="Excel.Sheet.8" ShapeID="_x0000_i1025" DrawAspect="Content" ObjectID="_1800260363" r:id="rId8"/>
        </w:object>
      </w:r>
    </w:p>
    <w:p w:rsidR="00000000" w:rsidRDefault="00F874A7"/>
    <w:p w:rsidR="00000000" w:rsidRDefault="00F874A7">
      <w:r>
        <w:t>Genehmigungsbedürftige Anlagen, werden, sofern nicht aufgrund der Tierplatzzahl gen</w:t>
      </w:r>
      <w:r>
        <w:t>e</w:t>
      </w:r>
      <w:r>
        <w:t>rell die UVP-Pflicht (Tabe</w:t>
      </w:r>
      <w:r>
        <w:t>lle Spalte lV) eintritt, einer allgemeinen (Tabelle Spalte Vl) oder standortbezogenen (Tabelle Spalte V) Vorprüfung unterzogen. Ob eine Umweltverträglic</w:t>
      </w:r>
      <w:r>
        <w:t>h</w:t>
      </w:r>
      <w:r>
        <w:t>keitsprüfung erforderlich ist, entscheidet die zuständige Behörde. Ausg</w:t>
      </w:r>
      <w:r>
        <w:t>e</w:t>
      </w:r>
      <w:r>
        <w:t xml:space="preserve">löst werden kann die </w:t>
      </w:r>
      <w:r>
        <w:rPr>
          <w:b/>
          <w:bCs/>
        </w:rPr>
        <w:t>standortbe</w:t>
      </w:r>
      <w:r>
        <w:rPr>
          <w:b/>
          <w:bCs/>
        </w:rPr>
        <w:t>zogene UVP</w:t>
      </w:r>
      <w:r>
        <w:t>-Pflicht durch angrenzende Biotope, Natu</w:t>
      </w:r>
      <w:r>
        <w:t>r</w:t>
      </w:r>
      <w:r>
        <w:t xml:space="preserve">schutzgebiete, Landschaftsschutzgebiete, Wasserschutzgebiete etc. Welche Kriterien in welchem Maß bei der </w:t>
      </w:r>
      <w:r>
        <w:rPr>
          <w:b/>
          <w:bCs/>
        </w:rPr>
        <w:t>allgemeinen UVP</w:t>
      </w:r>
      <w:r>
        <w:t xml:space="preserve">-Pflicht bei Anlagen mit einem Tierbestand ab 50 GV </w:t>
      </w:r>
      <w:r>
        <w:rPr>
          <w:b/>
          <w:bCs/>
        </w:rPr>
        <w:t>und</w:t>
      </w:r>
      <w:r>
        <w:t xml:space="preserve"> einem Tierbesatz größer 2 GV</w:t>
      </w:r>
      <w:r>
        <w:t>/ha herangezogen werden, konnte bisher nicht in Erfahrung g</w:t>
      </w:r>
      <w:r>
        <w:t>e</w:t>
      </w:r>
      <w:r>
        <w:t>bracht we</w:t>
      </w:r>
      <w:r>
        <w:t>r</w:t>
      </w:r>
      <w:r>
        <w:t xml:space="preserve">den. </w:t>
      </w:r>
    </w:p>
    <w:p w:rsidR="00000000" w:rsidRDefault="00F874A7"/>
    <w:p w:rsidR="00000000" w:rsidRDefault="00F874A7"/>
    <w:p w:rsidR="00000000" w:rsidRDefault="00F874A7"/>
    <w:p w:rsidR="00000000" w:rsidRDefault="00F874A7"/>
    <w:p w:rsidR="00000000" w:rsidRDefault="00F874A7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lastRenderedPageBreak/>
        <w:t>Genehmigungsverfahren für genehmigungsbedürftige Anlagen</w:t>
      </w:r>
    </w:p>
    <w:p w:rsidR="00000000" w:rsidRDefault="00F874A7">
      <w:pPr>
        <w:rPr>
          <w:b/>
          <w:bCs/>
          <w:sz w:val="28"/>
          <w:u w:val="single"/>
        </w:rPr>
      </w:pPr>
    </w:p>
    <w:p w:rsidR="00000000" w:rsidRDefault="00F874A7">
      <w:pPr>
        <w:ind w:left="284" w:hanging="284"/>
      </w:pPr>
      <w:r>
        <w:t>1. Vorhaben, die am Tag des Inkrafttretens am 03.08.01 bereits errichtet oder begonnen waren, sind nach altem Recht zu</w:t>
      </w:r>
      <w:r>
        <w:t xml:space="preserve"> beurteilen. Begonnen ist ein Vorhaben, wenn den z</w:t>
      </w:r>
      <w:r>
        <w:t>u</w:t>
      </w:r>
      <w:r>
        <w:t>ständigen Behörden alle Unterlagen vorgelegt worden sind, die für die Erteilung der Ba</w:t>
      </w:r>
      <w:r>
        <w:t>u</w:t>
      </w:r>
      <w:r>
        <w:t>genehmigung und sonst einzuholenden behördlichen Entscheidungen erforderlich sind. Bestehende oder begonnene Anlagen s</w:t>
      </w:r>
      <w:r>
        <w:t>ind innerhalb von 3 Monaten nach Inkraf</w:t>
      </w:r>
      <w:r>
        <w:t>t</w:t>
      </w:r>
      <w:r>
        <w:t>treten (bis 02.11.2001) des geänderten Bundesimmissionsschutzgesetzes anzuzeigen. Ein Unterlassen der Anzeige stellt eine Ordnungswidrigkeit dar, der Bestand</w:t>
      </w:r>
      <w:r>
        <w:t>s</w:t>
      </w:r>
      <w:r>
        <w:t>schutz der Anlage wird jedoch nicht in Frage gestellt. Rat</w:t>
      </w:r>
      <w:r>
        <w:t>sam ist die Nachfrage bei dem Umwel</w:t>
      </w:r>
      <w:r>
        <w:t>t</w:t>
      </w:r>
      <w:r>
        <w:t>schutzamt, wie die Anzeige erfolgen soll und welche Anforderungen an die Anzeige g</w:t>
      </w:r>
      <w:r>
        <w:t>e</w:t>
      </w:r>
      <w:r>
        <w:t xml:space="preserve">stellt werden. </w:t>
      </w:r>
    </w:p>
    <w:p w:rsidR="00000000" w:rsidRDefault="00F874A7">
      <w:pPr>
        <w:ind w:left="284" w:hanging="284"/>
      </w:pPr>
    </w:p>
    <w:p w:rsidR="00000000" w:rsidRDefault="00F874A7">
      <w:pPr>
        <w:ind w:left="284" w:hanging="284"/>
      </w:pPr>
      <w:r>
        <w:t>2. Für Vorhaben, die noch nicht begonnen wurden, ist das Verfahren als immissionsschut</w:t>
      </w:r>
      <w:r>
        <w:t>z</w:t>
      </w:r>
      <w:r>
        <w:t>rechtliches Genehmigungsverfahren</w:t>
      </w:r>
      <w:r>
        <w:t xml:space="preserve"> weiterzuführen. Dabei gelten die geänderten Vo</w:t>
      </w:r>
      <w:r>
        <w:t>r</w:t>
      </w:r>
      <w:r>
        <w:t>schriften des Artikelgesetzes.</w:t>
      </w:r>
    </w:p>
    <w:p w:rsidR="00000000" w:rsidRDefault="00F874A7">
      <w:pPr>
        <w:ind w:left="284" w:hanging="284"/>
      </w:pPr>
    </w:p>
    <w:p w:rsidR="00000000" w:rsidRDefault="00F874A7">
      <w:pPr>
        <w:ind w:left="284" w:hanging="284"/>
      </w:pPr>
      <w:r>
        <w:t>3. Bisher wurden noch keine Durchführungsvorschriften erlassen. Vorhaben, die nicht ei</w:t>
      </w:r>
      <w:r>
        <w:t>n</w:t>
      </w:r>
      <w:r>
        <w:t>deutig dem Baurecht oder dem Immissionsschutzrecht zuordenbar sind, sollen als Ba</w:t>
      </w:r>
      <w:r>
        <w:t>u</w:t>
      </w:r>
      <w:r>
        <w:t xml:space="preserve">antrag </w:t>
      </w:r>
      <w:r>
        <w:t>eingereicht werden und werden dann, je nach Verfahrenszuordnung vom Baurech</w:t>
      </w:r>
      <w:r>
        <w:t>t</w:t>
      </w:r>
      <w:r>
        <w:t>samt oder vom Umweltamt (LRA) bearbeitet und beschieden. Um über Art und Umfang der erforderlichen Antragsunterlagen (z.B. Pläne, Verfahrensbeschreibungen, UVP, Geruch</w:t>
      </w:r>
      <w:r>
        <w:t>s</w:t>
      </w:r>
      <w:r>
        <w:t>immissionsgu</w:t>
      </w:r>
      <w:r>
        <w:t>tachten) ausreichend informiert zu sein, wird empfohlen, sich vor Antragstellung mit dem Amt für Landwirtschaft, dem Baurechtsamt oder mit dem Umweltamt in Verbindung zu setzen. Im Falle der BImSch-Pflichtigkeit eines Vo</w:t>
      </w:r>
      <w:r>
        <w:t>r</w:t>
      </w:r>
      <w:r>
        <w:t>habens hat das Umweltamt den Landwi</w:t>
      </w:r>
      <w:r>
        <w:t>rt hinsichtlich Art und Umfang der Antragsunte</w:t>
      </w:r>
      <w:r>
        <w:t>r</w:t>
      </w:r>
      <w:r>
        <w:t>lagen zu b</w:t>
      </w:r>
      <w:r>
        <w:t>e</w:t>
      </w:r>
      <w:r>
        <w:t xml:space="preserve">raten. </w:t>
      </w:r>
    </w:p>
    <w:p w:rsidR="00000000" w:rsidRDefault="00F874A7"/>
    <w:p w:rsidR="00000000" w:rsidRDefault="00F874A7"/>
    <w:p w:rsidR="00000000" w:rsidRDefault="00F874A7">
      <w:pPr>
        <w:rPr>
          <w:b/>
          <w:bCs/>
        </w:rPr>
      </w:pPr>
      <w:r>
        <w:rPr>
          <w:b/>
          <w:bCs/>
        </w:rPr>
        <w:t>Diagramm: Vorprüfung für Genehmigungsverfahren nach BImSchG und UVPG</w:t>
      </w:r>
    </w:p>
    <w:p w:rsidR="00000000" w:rsidRDefault="00F874A7">
      <w:pPr>
        <w:rPr>
          <w:b/>
          <w:bCs/>
        </w:rPr>
      </w:pPr>
    </w:p>
    <w:p w:rsidR="00000000" w:rsidRDefault="00F87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Prüfung der UVP-Pflicht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Genehmigungsverfahren</w:t>
      </w:r>
    </w:p>
    <w:p w:rsidR="00000000" w:rsidRDefault="00F87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  <w:sz w:val="20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9" type="#_x0000_t109" style="position:absolute;margin-left:328.75pt;margin-top:11.75pt;width:120pt;height:66pt;z-index:251650048">
            <v:textbox style="mso-next-textbox:#_x0000_s1029">
              <w:txbxContent>
                <w:p w:rsidR="00000000" w:rsidRDefault="00F874A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förmliches und öffentliches Genehmigungsverfahren nach BImSchG mit Umwelt-verträglichkeitsprüfung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26" type="#_x0000_t109" style="position:absolute;margin-left:16.75pt;margin-top:9.75pt;width:120pt;height:48pt;z-index:251646976">
            <v:textbox style="mso-next-textbox:#_x0000_s1026">
              <w:txbxContent>
                <w:p w:rsidR="00000000" w:rsidRDefault="00F874A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Erreichen des Schwellen-wertes nach UVPG für die </w:t>
                  </w:r>
                  <w:r>
                    <w:rPr>
                      <w:sz w:val="16"/>
                      <w:u w:val="single"/>
                    </w:rPr>
                    <w:t>generelle</w:t>
                  </w:r>
                  <w:r>
                    <w:rPr>
                      <w:sz w:val="16"/>
                    </w:rPr>
                    <w:t xml:space="preserve"> UVP-Pflicht. (Tab. Spalte lV)</w:t>
                  </w:r>
                </w:p>
              </w:txbxContent>
            </v:textbox>
          </v:shape>
        </w:pict>
      </w:r>
    </w:p>
    <w:p w:rsidR="00000000" w:rsidRDefault="00F87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  <w:sz w:val="20"/>
        </w:rPr>
        <w:pict>
          <v:line id="_x0000_s1031" style="position:absolute;z-index:251652096" from="136.75pt,1.95pt" to="328.75pt,1.95pt" strokeweight="1.5pt">
            <v:stroke endarrow="block"/>
          </v:line>
        </w:pict>
      </w:r>
    </w:p>
    <w:p w:rsidR="00000000" w:rsidRDefault="00F87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</w:rPr>
      </w:pPr>
      <w:r>
        <w:rPr>
          <w:noProof/>
          <w:sz w:val="20"/>
        </w:rPr>
        <w:pict>
          <v:line id="_x0000_s1038" style="position:absolute;flip:y;z-index:251659264" from="286.75pt,6.15pt" to="286.75pt,54.15pt" strokeweight="1.5pt"/>
        </w:pict>
      </w:r>
      <w:r>
        <w:rPr>
          <w:noProof/>
          <w:sz w:val="20"/>
        </w:rPr>
        <w:pict>
          <v:line id="_x0000_s1039" style="position:absolute;z-index:251660288" from="286.75pt,6.15pt" to="328.75pt,6.15pt" strokeweight="1.5pt">
            <v:stroke endarrow="block"/>
          </v:line>
        </w:pict>
      </w:r>
    </w:p>
    <w:p w:rsidR="00000000" w:rsidRDefault="00F87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000000" w:rsidRDefault="00F87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</w:rPr>
      </w:pPr>
      <w:r>
        <w:rPr>
          <w:noProof/>
          <w:sz w:val="20"/>
        </w:rPr>
        <w:pict>
          <v:line id="_x0000_s1044" style="position:absolute;flip:x y;z-index:251665408" from="304.75pt,5.75pt" to="304.75pt,95.75pt" strokeweight="1.5pt"/>
        </w:pict>
      </w:r>
      <w:r>
        <w:rPr>
          <w:noProof/>
          <w:sz w:val="20"/>
        </w:rPr>
        <w:pict>
          <v:line id="_x0000_s1045" style="position:absolute;z-index:251666432" from="304.75pt,5.75pt" to="328.75pt,5.75pt" strokeweight="1.5pt">
            <v:stroke endarrow="block"/>
          </v:line>
        </w:pict>
      </w:r>
    </w:p>
    <w:p w:rsidR="00000000" w:rsidRDefault="00F87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</w:rPr>
      </w:pPr>
      <w:r>
        <w:rPr>
          <w:noProof/>
          <w:sz w:val="20"/>
        </w:rPr>
        <w:pict>
          <v:shape id="_x0000_s1032" type="#_x0000_t109" style="position:absolute;margin-left:208.75pt;margin-top:2.55pt;width:60pt;height:30pt;z-index:251653120">
            <v:textbox style="mso-next-textbox:#_x0000_s1032">
              <w:txbxContent>
                <w:p w:rsidR="00000000" w:rsidRDefault="00F874A7">
                  <w:pPr>
                    <w:jc w:val="center"/>
                    <w:rPr>
                      <w:b/>
                      <w:bCs/>
                      <w:sz w:val="16"/>
                    </w:rPr>
                  </w:pPr>
                  <w:r>
                    <w:rPr>
                      <w:b/>
                      <w:bCs/>
                      <w:sz w:val="16"/>
                    </w:rPr>
                    <w:t>UVP-Pflic</w:t>
                  </w:r>
                  <w:r>
                    <w:rPr>
                      <w:b/>
                      <w:bCs/>
                      <w:sz w:val="16"/>
                    </w:rPr>
                    <w:t>ht</w:t>
                  </w:r>
                </w:p>
                <w:p w:rsidR="00000000" w:rsidRDefault="00F874A7">
                  <w:pPr>
                    <w:jc w:val="center"/>
                    <w:rPr>
                      <w:b/>
                      <w:bCs/>
                      <w:sz w:val="16"/>
                    </w:rPr>
                  </w:pPr>
                  <w:r>
                    <w:rPr>
                      <w:b/>
                      <w:bCs/>
                      <w:sz w:val="16"/>
                    </w:rPr>
                    <w:t>ja</w:t>
                  </w:r>
                </w:p>
              </w:txbxContent>
            </v:textbox>
          </v:shape>
        </w:pict>
      </w:r>
    </w:p>
    <w:p w:rsidR="00000000" w:rsidRDefault="00F87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</w:rPr>
      </w:pPr>
      <w:r>
        <w:rPr>
          <w:noProof/>
          <w:sz w:val="20"/>
        </w:rPr>
        <w:pict>
          <v:shape id="_x0000_s1027" type="#_x0000_t109" style="position:absolute;margin-left:16.75pt;margin-top:5.35pt;width:120pt;height:48pt;z-index:251648000">
            <v:textbox style="mso-next-textbox:#_x0000_s1027">
              <w:txbxContent>
                <w:p w:rsidR="00000000" w:rsidRDefault="00F874A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Erreichen des Schwellen-wertes nach UVPG für die </w:t>
                  </w:r>
                  <w:r>
                    <w:rPr>
                      <w:sz w:val="16"/>
                      <w:u w:val="single"/>
                    </w:rPr>
                    <w:t>allgemeine</w:t>
                  </w:r>
                  <w:r>
                    <w:rPr>
                      <w:b/>
                      <w:bCs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Vorprüfung des Einzelfalles (Tab. Spalte VI)</w:t>
                  </w:r>
                </w:p>
              </w:txbxContent>
            </v:textbox>
          </v:shape>
        </w:pict>
      </w:r>
    </w:p>
    <w:p w:rsidR="00000000" w:rsidRDefault="00F87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</w:rPr>
      </w:pPr>
      <w:r>
        <w:rPr>
          <w:noProof/>
          <w:sz w:val="20"/>
        </w:rPr>
        <w:pict>
          <v:line id="_x0000_s1036" style="position:absolute;z-index:251657216" from="136.75pt,8.15pt" to="208.75pt,8.15pt" strokeweight="1.5pt">
            <v:stroke endarrow="block"/>
          </v:line>
        </w:pict>
      </w:r>
      <w:r>
        <w:rPr>
          <w:noProof/>
          <w:sz w:val="20"/>
        </w:rPr>
        <w:pict>
          <v:line id="_x0000_s1037" style="position:absolute;z-index:251658240" from="268.75pt,8.15pt" to="286.75pt,8.15pt" strokeweight="1.5pt"/>
        </w:pict>
      </w:r>
      <w:r>
        <w:rPr>
          <w:sz w:val="16"/>
        </w:rPr>
        <w:t xml:space="preserve">   </w:t>
      </w:r>
    </w:p>
    <w:p w:rsidR="00000000" w:rsidRDefault="00F87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</w:rPr>
      </w:pPr>
    </w:p>
    <w:p w:rsidR="00000000" w:rsidRDefault="00F87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</w:rPr>
      </w:pPr>
      <w:r>
        <w:rPr>
          <w:noProof/>
          <w:sz w:val="20"/>
        </w:rPr>
        <w:pict>
          <v:shape id="_x0000_s1033" type="#_x0000_t109" style="position:absolute;margin-left:208.75pt;margin-top:1.75pt;width:60pt;height:30pt;z-index:251654144">
            <v:textbox style="mso-next-textbox:#_x0000_s1033">
              <w:txbxContent>
                <w:p w:rsidR="00000000" w:rsidRDefault="00F874A7">
                  <w:pPr>
                    <w:jc w:val="center"/>
                    <w:rPr>
                      <w:b/>
                      <w:bCs/>
                      <w:sz w:val="16"/>
                    </w:rPr>
                  </w:pPr>
                  <w:r>
                    <w:rPr>
                      <w:b/>
                      <w:bCs/>
                      <w:sz w:val="16"/>
                    </w:rPr>
                    <w:t>UVP-Pflicht</w:t>
                  </w:r>
                </w:p>
                <w:p w:rsidR="00000000" w:rsidRDefault="00F874A7">
                  <w:pPr>
                    <w:jc w:val="center"/>
                    <w:rPr>
                      <w:b/>
                      <w:bCs/>
                      <w:sz w:val="16"/>
                    </w:rPr>
                  </w:pPr>
                  <w:r>
                    <w:rPr>
                      <w:b/>
                      <w:bCs/>
                      <w:sz w:val="16"/>
                    </w:rPr>
                    <w:t>nein</w:t>
                  </w:r>
                </w:p>
              </w:txbxContent>
            </v:textbox>
          </v:shape>
        </w:pict>
      </w:r>
    </w:p>
    <w:p w:rsidR="00000000" w:rsidRDefault="00F87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</w:rPr>
      </w:pPr>
      <w:r>
        <w:rPr>
          <w:noProof/>
          <w:sz w:val="20"/>
        </w:rPr>
        <w:pict>
          <v:shape id="_x0000_s1030" type="#_x0000_t109" style="position:absolute;margin-left:328.75pt;margin-top:4.55pt;width:120pt;height:1in;z-index:251651072">
            <v:textbox style="mso-next-textbox:#_x0000_s1030">
              <w:txbxContent>
                <w:p w:rsidR="00000000" w:rsidRDefault="00F874A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vereinfachtes und nicht öffentliches Genehmigungs-verfahren nach BImSchG ohne Umweltverträglichkeits-prüfung</w:t>
                  </w:r>
                </w:p>
              </w:txbxContent>
            </v:textbox>
          </v:shape>
        </w:pic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000000" w:rsidRDefault="00F87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</w:rPr>
      </w:pPr>
      <w:r>
        <w:rPr>
          <w:noProof/>
          <w:sz w:val="20"/>
        </w:rPr>
        <w:pict>
          <v:line id="_x0000_s1041" style="position:absolute;z-index:251662336" from="268.75pt,1.35pt" to="328.75pt,1.35pt" strokeweight="1.5pt">
            <v:stroke endarrow="block"/>
          </v:line>
        </w:pict>
      </w:r>
      <w:r>
        <w:rPr>
          <w:noProof/>
          <w:sz w:val="20"/>
        </w:rPr>
        <w:pict>
          <v:line id="_x0000_s1040" style="position:absolute;z-index:251661312" from="136.75pt,1.35pt" to="208.75pt,1.35pt" strokeweight="1.5pt">
            <v:stroke endarrow="block"/>
          </v:line>
        </w:pict>
      </w:r>
    </w:p>
    <w:p w:rsidR="00000000" w:rsidRDefault="00F87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</w:rPr>
      </w:pPr>
    </w:p>
    <w:p w:rsidR="00000000" w:rsidRDefault="00F87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</w:rPr>
      </w:pPr>
      <w:r>
        <w:rPr>
          <w:noProof/>
          <w:sz w:val="20"/>
        </w:rPr>
        <w:pict>
          <v:shape id="_x0000_s1028" type="#_x0000_t109" style="position:absolute;margin-left:16.75pt;margin-top:3.75pt;width:120pt;height:53.2pt;z-index:251649024">
            <v:textbox style="mso-next-textbox:#_x0000_s1028">
              <w:txbxContent>
                <w:p w:rsidR="00000000" w:rsidRDefault="00F874A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Erreichen des S</w:t>
                  </w:r>
                  <w:r>
                    <w:rPr>
                      <w:sz w:val="16"/>
                    </w:rPr>
                    <w:t xml:space="preserve">chwellen-wertes nach UVPG für die  </w:t>
                  </w:r>
                  <w:r>
                    <w:rPr>
                      <w:sz w:val="16"/>
                      <w:u w:val="single"/>
                    </w:rPr>
                    <w:t>standortbezogene</w:t>
                  </w:r>
                  <w:r>
                    <w:rPr>
                      <w:sz w:val="16"/>
                    </w:rPr>
                    <w:t xml:space="preserve"> Vorpr</w:t>
                  </w:r>
                  <w:r>
                    <w:rPr>
                      <w:sz w:val="16"/>
                    </w:rPr>
                    <w:t>ü</w:t>
                  </w:r>
                  <w:r>
                    <w:rPr>
                      <w:sz w:val="16"/>
                    </w:rPr>
                    <w:t>fung des Einzelfalles (Tab. Spalte V)</w:t>
                  </w:r>
                </w:p>
                <w:p w:rsidR="00000000" w:rsidRDefault="00F874A7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34" type="#_x0000_t109" style="position:absolute;margin-left:208.75pt;margin-top:.95pt;width:60pt;height:30pt;z-index:251655168">
            <v:textbox style="mso-next-textbox:#_x0000_s1034">
              <w:txbxContent>
                <w:p w:rsidR="00000000" w:rsidRDefault="00F874A7">
                  <w:pPr>
                    <w:jc w:val="center"/>
                    <w:rPr>
                      <w:b/>
                      <w:bCs/>
                      <w:sz w:val="16"/>
                    </w:rPr>
                  </w:pPr>
                  <w:r>
                    <w:rPr>
                      <w:b/>
                      <w:bCs/>
                      <w:sz w:val="16"/>
                    </w:rPr>
                    <w:t>UVP-Pflicht</w:t>
                  </w:r>
                </w:p>
                <w:p w:rsidR="00000000" w:rsidRDefault="00F874A7">
                  <w:pPr>
                    <w:jc w:val="center"/>
                    <w:rPr>
                      <w:b/>
                      <w:bCs/>
                      <w:sz w:val="16"/>
                    </w:rPr>
                  </w:pPr>
                  <w:r>
                    <w:rPr>
                      <w:b/>
                      <w:bCs/>
                      <w:sz w:val="16"/>
                    </w:rPr>
                    <w:t>ja</w:t>
                  </w:r>
                </w:p>
              </w:txbxContent>
            </v:textbox>
          </v:shape>
        </w:pict>
      </w:r>
    </w:p>
    <w:p w:rsidR="00000000" w:rsidRDefault="00F87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</w:rPr>
      </w:pPr>
      <w:r>
        <w:rPr>
          <w:noProof/>
          <w:sz w:val="20"/>
        </w:rPr>
        <w:pict>
          <v:line id="_x0000_s1043" style="position:absolute;z-index:251664384" from="268.75pt,3.75pt" to="304.75pt,3.75pt" strokeweight="1.5pt"/>
        </w:pict>
      </w:r>
      <w:r>
        <w:rPr>
          <w:noProof/>
          <w:sz w:val="20"/>
        </w:rPr>
        <w:pict>
          <v:line id="_x0000_s1042" style="position:absolute;z-index:251663360" from="136.75pt,3.75pt" to="208.75pt,3.75pt" strokeweight="1.5pt">
            <v:stroke endarrow="block"/>
          </v:line>
        </w:pict>
      </w:r>
    </w:p>
    <w:p w:rsidR="00000000" w:rsidRDefault="00F87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000000" w:rsidRDefault="00F87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</w:rPr>
      </w:pPr>
    </w:p>
    <w:p w:rsidR="00000000" w:rsidRDefault="00F87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</w:rPr>
      </w:pPr>
      <w:r>
        <w:rPr>
          <w:noProof/>
          <w:sz w:val="20"/>
        </w:rPr>
        <w:pict>
          <v:line id="_x0000_s1047" style="position:absolute;z-index:251668480" from="268.75pt,6.15pt" to="328.75pt,6.15pt" strokeweight="1.5pt">
            <v:stroke endarrow="block"/>
          </v:line>
        </w:pict>
      </w:r>
      <w:r>
        <w:rPr>
          <w:noProof/>
          <w:sz w:val="20"/>
        </w:rPr>
        <w:pict>
          <v:shape id="_x0000_s1035" type="#_x0000_t109" style="position:absolute;margin-left:208.75pt;margin-top:.15pt;width:60pt;height:33.2pt;z-index:251656192">
            <v:textbox style="mso-next-textbox:#_x0000_s1035">
              <w:txbxContent>
                <w:p w:rsidR="00000000" w:rsidRDefault="00F874A7">
                  <w:pPr>
                    <w:jc w:val="center"/>
                    <w:rPr>
                      <w:b/>
                      <w:bCs/>
                      <w:sz w:val="16"/>
                    </w:rPr>
                  </w:pPr>
                  <w:r>
                    <w:rPr>
                      <w:b/>
                      <w:bCs/>
                      <w:sz w:val="16"/>
                    </w:rPr>
                    <w:t>UVP-Pflicht</w:t>
                  </w:r>
                </w:p>
                <w:p w:rsidR="00000000" w:rsidRDefault="00F874A7">
                  <w:pPr>
                    <w:jc w:val="center"/>
                    <w:rPr>
                      <w:b/>
                      <w:bCs/>
                      <w:sz w:val="16"/>
                    </w:rPr>
                  </w:pPr>
                  <w:r>
                    <w:rPr>
                      <w:b/>
                      <w:bCs/>
                      <w:sz w:val="16"/>
                    </w:rPr>
                    <w:t>nein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1046" style="position:absolute;z-index:251667456" from="136.75pt,6.15pt" to="208.75pt,6.15pt" strokeweight="1.5pt">
            <v:stroke endarrow="block"/>
          </v:line>
        </w:pict>
      </w:r>
      <w:r>
        <w:rPr>
          <w:sz w:val="16"/>
        </w:rPr>
        <w:t xml:space="preserve">   </w:t>
      </w:r>
      <w:r>
        <w:rPr>
          <w:sz w:val="16"/>
        </w:rPr>
        <w:t xml:space="preserve"> </w:t>
      </w:r>
    </w:p>
    <w:p w:rsidR="00000000" w:rsidRDefault="00F87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F87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F87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</w:rPr>
      </w:pPr>
      <w:r>
        <w:rPr>
          <w:sz w:val="16"/>
        </w:rPr>
        <w:t>UVPG= Gesetz über die Umweltverträglichkeitsprüfung</w:t>
      </w:r>
    </w:p>
    <w:p w:rsidR="00000000" w:rsidRDefault="00F87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</w:rPr>
      </w:pPr>
      <w:r>
        <w:rPr>
          <w:sz w:val="16"/>
        </w:rPr>
        <w:t>UVP= Umweltverträglichkeitsprüfung</w:t>
      </w:r>
    </w:p>
    <w:p w:rsidR="00000000" w:rsidRDefault="00F87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</w:rPr>
      </w:pPr>
      <w:r>
        <w:rPr>
          <w:sz w:val="16"/>
        </w:rPr>
        <w:t>BImSchG= Bundesimmissionsschutzgesetz</w:t>
      </w:r>
    </w:p>
    <w:p w:rsidR="00000000" w:rsidRDefault="00F874A7"/>
    <w:p w:rsidR="00000000" w:rsidRDefault="00F874A7"/>
    <w:p w:rsidR="00000000" w:rsidRDefault="00F874A7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lastRenderedPageBreak/>
        <w:t>Art des Genehmigungsverfahren, Beispiel Geflügelhaltung</w:t>
      </w:r>
    </w:p>
    <w:p w:rsidR="00000000" w:rsidRDefault="00F874A7">
      <w:r>
        <w:t xml:space="preserve">Vorhaben der Geflügelhaltung sind weiter zu differenzieren, als dies </w:t>
      </w:r>
      <w:r>
        <w:t>im Diagramm darg</w:t>
      </w:r>
      <w:r>
        <w:t>e</w:t>
      </w:r>
      <w:r>
        <w:t>stellt ist. Am Beispiel der Legehenne</w:t>
      </w:r>
      <w:r>
        <w:t>n</w:t>
      </w:r>
      <w:r>
        <w:t>haltung wird dies aufgezeigt:</w:t>
      </w:r>
    </w:p>
    <w:p w:rsidR="00000000" w:rsidRDefault="00F874A7"/>
    <w:p w:rsidR="00000000" w:rsidRDefault="00F874A7">
      <w:pPr>
        <w:ind w:left="284" w:hanging="284"/>
      </w:pPr>
      <w:r>
        <w:t xml:space="preserve">1. Anlagen unter 15.000 Legehennenplätze sind baurechtlich zu beurteilen, es sei denn, es werden 50 GV und mehr gehalten und der Tierbesatz liegt über 2 GV/ha. Dann wird </w:t>
      </w:r>
      <w:r>
        <w:t>in einer allgemeinen Vorprüfung beurteilt, ob das Vorhaben erhebliche nachteilige U</w:t>
      </w:r>
      <w:r>
        <w:t>m</w:t>
      </w:r>
      <w:r>
        <w:t>weltauswirkungen haben kann. In diesem Fall ist ein förmliches BImSch-Verfahren mit Öffentlichkeitsbeteiligung vorgesehen und eine UVP vorzulegen. Ist keine UVP erforde</w:t>
      </w:r>
      <w:r>
        <w:t>r</w:t>
      </w:r>
      <w:r>
        <w:t>lic</w:t>
      </w:r>
      <w:r>
        <w:t>h, ist dein vereinfachtes BImSch-Verfahren durchzuführen.</w:t>
      </w:r>
    </w:p>
    <w:p w:rsidR="00000000" w:rsidRDefault="00F874A7">
      <w:pPr>
        <w:ind w:left="284" w:hanging="284"/>
      </w:pPr>
    </w:p>
    <w:p w:rsidR="00000000" w:rsidRDefault="00F874A7">
      <w:pPr>
        <w:ind w:left="284" w:hanging="284"/>
      </w:pPr>
      <w:r>
        <w:t>2. Zwischen 15.000 und 20.000 Legehennen ist ein vereinfachtes Verfahren nach BImSchG vorgesehen. Sollte allerdings die standortbezogene Vorprüfung die Vorlage einer UVP verlangen, ist ein förmlich</w:t>
      </w:r>
      <w:r>
        <w:t>es BImSch-Verfahren mit Öffentlichkeitsbete</w:t>
      </w:r>
      <w:r>
        <w:t>i</w:t>
      </w:r>
      <w:r>
        <w:t>ligung durchz</w:t>
      </w:r>
      <w:r>
        <w:t>u</w:t>
      </w:r>
      <w:r>
        <w:t xml:space="preserve">führen. </w:t>
      </w:r>
    </w:p>
    <w:p w:rsidR="00000000" w:rsidRDefault="00F874A7">
      <w:pPr>
        <w:ind w:left="284" w:hanging="284"/>
      </w:pPr>
    </w:p>
    <w:p w:rsidR="00000000" w:rsidRDefault="00F874A7">
      <w:pPr>
        <w:ind w:left="284" w:hanging="284"/>
      </w:pPr>
      <w:r>
        <w:t>3. Ab 20.000 Legehennenplätze ist generell ein förmliches BImSch-Verfahren mit Öffen</w:t>
      </w:r>
      <w:r>
        <w:t>t</w:t>
      </w:r>
      <w:r>
        <w:t>lichkeitsb</w:t>
      </w:r>
      <w:r>
        <w:t>e</w:t>
      </w:r>
      <w:r>
        <w:t>teiligung vorgesehen. Die standortbezogene Vorprüfung entscheidet über die UVP-Pflicht.</w:t>
      </w:r>
    </w:p>
    <w:p w:rsidR="00000000" w:rsidRDefault="00F874A7">
      <w:pPr>
        <w:ind w:left="284" w:hanging="284"/>
      </w:pPr>
    </w:p>
    <w:p w:rsidR="00000000" w:rsidRDefault="00F874A7">
      <w:pPr>
        <w:ind w:left="284" w:hanging="284"/>
      </w:pPr>
      <w:r>
        <w:t xml:space="preserve">4. </w:t>
      </w:r>
      <w:r>
        <w:t>Zusätzlich ist ab 42.000 Plätze generell eine UVP vorgeschrieben.</w:t>
      </w:r>
    </w:p>
    <w:p w:rsidR="00000000" w:rsidRDefault="00F874A7">
      <w:pPr>
        <w:ind w:left="284" w:hanging="284"/>
      </w:pPr>
    </w:p>
    <w:p w:rsidR="00000000" w:rsidRDefault="00F874A7">
      <w:pPr>
        <w:ind w:left="284" w:hanging="284"/>
      </w:pPr>
    </w:p>
    <w:p w:rsidR="00000000" w:rsidRDefault="00F874A7">
      <w:pPr>
        <w:ind w:left="284" w:hanging="284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Biogasanlagen / Güllelagerraum</w:t>
      </w:r>
    </w:p>
    <w:p w:rsidR="00000000" w:rsidRDefault="00F874A7">
      <w:r>
        <w:t>Eine Biogasanlage wird genehmigungsbedürftig, wenn mehr als 10 Tonnen Abfall (Gülle ist Abfall im Sinne des KrW/AbfG) je Tag vergärt werden, unabhängig von d</w:t>
      </w:r>
      <w:r>
        <w:t>er Art des Gä</w:t>
      </w:r>
      <w:r>
        <w:t>r</w:t>
      </w:r>
      <w:r>
        <w:t>substrats (z.B. Gülle oder Fett). Ein Güllelager mit einer Lagerkapazität von 2.500 m³ und mehr ist wie bisher genehmigungsbedürftig. Der Fermenterraum wird hierbei nicht mit a</w:t>
      </w:r>
      <w:r>
        <w:t>n</w:t>
      </w:r>
      <w:r>
        <w:t xml:space="preserve">gerechnet. </w:t>
      </w:r>
    </w:p>
    <w:p w:rsidR="00000000" w:rsidRDefault="00F874A7"/>
    <w:p w:rsidR="00000000" w:rsidRDefault="00F874A7">
      <w:r>
        <w:t>Beispiel: Fermenter: 350 m³, Verweildauer 40 Tage, G</w:t>
      </w:r>
      <w:r>
        <w:t>üllellager 2.200 m³ (9 Monate Lage</w:t>
      </w:r>
      <w:r>
        <w:t>r</w:t>
      </w:r>
      <w:r>
        <w:t>zeit).</w:t>
      </w:r>
    </w:p>
    <w:p w:rsidR="00000000" w:rsidRDefault="00F874A7">
      <w:r>
        <w:t>Keine Genehmigungsbedürftigkeit, da weniger als 10 Tonnen Abfall je Tag biologisch b</w:t>
      </w:r>
      <w:r>
        <w:t>e</w:t>
      </w:r>
      <w:r>
        <w:t>handelt werden und der Güllelagerraum den Schwellenwert nicht erreicht.</w:t>
      </w:r>
    </w:p>
    <w:p w:rsidR="00000000" w:rsidRDefault="00F874A7">
      <w:pPr>
        <w:ind w:left="284" w:hanging="284"/>
      </w:pPr>
    </w:p>
    <w:p w:rsidR="00000000" w:rsidRDefault="00F874A7">
      <w:pPr>
        <w:ind w:left="284" w:hanging="284"/>
      </w:pPr>
    </w:p>
    <w:p w:rsidR="00000000" w:rsidRDefault="00F874A7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Beste verfügbare Techniken</w:t>
      </w:r>
    </w:p>
    <w:p w:rsidR="00000000" w:rsidRDefault="00F874A7">
      <w:r>
        <w:t>Ein weiterer wichtiger Besta</w:t>
      </w:r>
      <w:r>
        <w:t xml:space="preserve">ndteil der IVU-Richtlinie wird umgesetzt mit der Ausarbeitung der Referenzdokumente zur </w:t>
      </w:r>
      <w:r>
        <w:rPr>
          <w:b/>
          <w:bCs/>
        </w:rPr>
        <w:t>besten verfügbaren Technik (BVT)</w:t>
      </w:r>
      <w:r>
        <w:t>. Dieser Terminus en</w:t>
      </w:r>
      <w:r>
        <w:t>t</w:t>
      </w:r>
      <w:r>
        <w:t xml:space="preserve">spricht dem </w:t>
      </w:r>
      <w:r>
        <w:rPr>
          <w:b/>
          <w:bCs/>
        </w:rPr>
        <w:t>Stand der Technik</w:t>
      </w:r>
      <w:r>
        <w:t>, wie er im BImSchG (neu) verwendet wird. Technische Verfahren wie einzelne Tierhaltun</w:t>
      </w:r>
      <w:r>
        <w:t>gsverfahren, Güllelagerung, Gülleausbringung, G</w:t>
      </w:r>
      <w:r>
        <w:t>e</w:t>
      </w:r>
      <w:r>
        <w:t>ruchsminderungsmaßnahmen etc. werden beschrieben und bewertet nach dem erreichb</w:t>
      </w:r>
      <w:r>
        <w:t>a</w:t>
      </w:r>
      <w:r>
        <w:t>ren Umwel</w:t>
      </w:r>
      <w:r>
        <w:t>t</w:t>
      </w:r>
      <w:r>
        <w:t xml:space="preserve">nutzen (Ammoniakemission, Energieaufwand etc.), der Anwendbarkeit, der Kosten u.a. </w:t>
      </w:r>
    </w:p>
    <w:p w:rsidR="00000000" w:rsidRDefault="00F874A7"/>
    <w:p w:rsidR="00000000" w:rsidRDefault="00F874A7">
      <w:r>
        <w:t>Zum einen soll die angewandte Tec</w:t>
      </w:r>
      <w:r>
        <w:t xml:space="preserve">hnik in der EU vereinheitlicht werden. Zum anderen soll die Umwelt geschützt werden durch </w:t>
      </w:r>
    </w:p>
    <w:p w:rsidR="00000000" w:rsidRDefault="00F874A7">
      <w:pPr>
        <w:numPr>
          <w:ilvl w:val="0"/>
          <w:numId w:val="1"/>
        </w:numPr>
      </w:pPr>
      <w:r>
        <w:t xml:space="preserve">emissionsmindernde Maßnahmen, </w:t>
      </w:r>
    </w:p>
    <w:p w:rsidR="00000000" w:rsidRDefault="00F874A7">
      <w:pPr>
        <w:numPr>
          <w:ilvl w:val="0"/>
          <w:numId w:val="1"/>
        </w:numPr>
      </w:pPr>
      <w:r>
        <w:t>integrierte Konzepte, die nicht nur einzelne Umweltmedien berücksichtigen und</w:t>
      </w:r>
    </w:p>
    <w:p w:rsidR="00000000" w:rsidRDefault="00F874A7">
      <w:pPr>
        <w:numPr>
          <w:ilvl w:val="0"/>
          <w:numId w:val="1"/>
        </w:numPr>
      </w:pPr>
      <w:r>
        <w:t xml:space="preserve">Emissionsgrenzwerte und technische Maßnahmen. </w:t>
      </w:r>
    </w:p>
    <w:p w:rsidR="00000000" w:rsidRDefault="00F874A7"/>
    <w:p w:rsidR="00000000" w:rsidRDefault="00F874A7">
      <w:r>
        <w:lastRenderedPageBreak/>
        <w:t xml:space="preserve">Bei der </w:t>
      </w:r>
      <w:r>
        <w:t>Beurteilung spielt die wirtschaftliche Tragbarkeit des Verfahrens eine bedeutende Rolle. Derzeit werden die BVT von einer internationalen Arbeitsgruppe in Sevilla in sog</w:t>
      </w:r>
      <w:r>
        <w:t>e</w:t>
      </w:r>
      <w:r>
        <w:t>nannten Referenzdokumenten beschrieben und liegen im Entwurf vor. Diese Referenzd</w:t>
      </w:r>
      <w:r>
        <w:t>o</w:t>
      </w:r>
      <w:r>
        <w:t>kume</w:t>
      </w:r>
      <w:r>
        <w:t>nte sollen alle drei Jahre fortgeschrieben werden.</w:t>
      </w:r>
    </w:p>
    <w:p w:rsidR="00000000" w:rsidRDefault="00F874A7">
      <w:pPr>
        <w:ind w:left="284" w:hanging="284"/>
      </w:pPr>
    </w:p>
    <w:p w:rsidR="00000000" w:rsidRDefault="00F874A7">
      <w:pPr>
        <w:ind w:left="284" w:hanging="284"/>
      </w:pPr>
    </w:p>
    <w:p w:rsidR="00000000" w:rsidRDefault="00F874A7">
      <w:pPr>
        <w:ind w:left="284" w:hanging="284"/>
      </w:pPr>
    </w:p>
    <w:p w:rsidR="00000000" w:rsidRDefault="00F874A7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TA Luft</w:t>
      </w:r>
    </w:p>
    <w:p w:rsidR="00000000" w:rsidRDefault="00F874A7">
      <w:r>
        <w:t>Derzeit liegt ein Entwurf zur TA Luft vor. Darin werden höhere Anforderungen an Tierha</w:t>
      </w:r>
      <w:r>
        <w:t>l</w:t>
      </w:r>
      <w:r>
        <w:t>tungsanlagen im Hinblick auf Ammoniak- und Staubemissionen gestellt. Aufwändige A</w:t>
      </w:r>
      <w:r>
        <w:t>m</w:t>
      </w:r>
      <w:r>
        <w:t>moniakmessungen der Abluf</w:t>
      </w:r>
      <w:r>
        <w:t>t sind vorgesehen. Ställe mit freier Lüftung werden dabei schlechter gestellt als Ställe mit geregelter Abluftführung. Die Maßstäbe zur Beurteilung von schädlichen Umwelteinwirkungen durch Luftverunreinigungen sollen auf nicht gene</w:t>
      </w:r>
      <w:r>
        <w:t>h</w:t>
      </w:r>
      <w:r>
        <w:t>migungspflichtige Anlage</w:t>
      </w:r>
      <w:r>
        <w:t xml:space="preserve">n ausgedehnt werden. </w:t>
      </w:r>
    </w:p>
    <w:sectPr w:rsidR="00000000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1134" w:right="851" w:bottom="1134" w:left="1366" w:header="737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874A7">
      <w:r>
        <w:separator/>
      </w:r>
    </w:p>
  </w:endnote>
  <w:endnote w:type="continuationSeparator" w:id="0">
    <w:p w:rsidR="00000000" w:rsidRDefault="00F8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874A7">
    <w:pPr>
      <w:pStyle w:val="Fuzeile"/>
      <w:tabs>
        <w:tab w:val="clear" w:pos="4536"/>
        <w:tab w:val="clear" w:pos="9072"/>
        <w:tab w:val="center" w:pos="4820"/>
        <w:tab w:val="right" w:pos="963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874A7">
    <w:pPr>
      <w:pStyle w:val="Fuzeile"/>
      <w:tabs>
        <w:tab w:val="clear" w:pos="4536"/>
        <w:tab w:val="clear" w:pos="9072"/>
        <w:tab w:val="center" w:pos="4820"/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874A7">
      <w:r>
        <w:separator/>
      </w:r>
    </w:p>
  </w:footnote>
  <w:footnote w:type="continuationSeparator" w:id="0">
    <w:p w:rsidR="00000000" w:rsidRDefault="00F87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874A7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000000" w:rsidRDefault="00F874A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874A7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:rsidR="00000000" w:rsidRDefault="00F874A7">
    <w:pPr>
      <w:pStyle w:val="Kopfzeile"/>
      <w:tabs>
        <w:tab w:val="clear" w:pos="4536"/>
        <w:tab w:val="clear" w:pos="9072"/>
        <w:tab w:val="center" w:pos="4820"/>
        <w:tab w:val="right" w:pos="9639"/>
      </w:tabs>
      <w:jc w:val="center"/>
      <w:rPr>
        <w:rStyle w:val="Seitenzahl"/>
      </w:rPr>
    </w:pPr>
    <w:r>
      <w:t xml:space="preserve">-   </w:t>
    </w:r>
    <w:r>
      <w:rPr>
        <w:rStyle w:val="Seitenzahl"/>
      </w:rPr>
      <w:t xml:space="preserve"> -</w:t>
    </w:r>
  </w:p>
  <w:p w:rsidR="00000000" w:rsidRDefault="00F874A7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402BA"/>
    <w:multiLevelType w:val="hybridMultilevel"/>
    <w:tmpl w:val="AB4E499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1F5FFC"/>
    <w:multiLevelType w:val="hybridMultilevel"/>
    <w:tmpl w:val="2AFC786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doNotTrackMoves/>
  <w:defaultTabStop w:val="709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74A7"/>
    <w:rsid w:val="00F8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72C2E7C-7903-4273-9A70-EF26C0370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spacing w:before="120" w:after="120"/>
      <w:outlineLvl w:val="0"/>
    </w:pPr>
    <w:rPr>
      <w:b/>
      <w:kern w:val="28"/>
      <w:sz w:val="40"/>
    </w:rPr>
  </w:style>
  <w:style w:type="paragraph" w:styleId="berschrift2">
    <w:name w:val="heading 2"/>
    <w:basedOn w:val="Standard"/>
    <w:next w:val="Standard"/>
    <w:qFormat/>
    <w:pPr>
      <w:keepNext/>
      <w:spacing w:before="120" w:after="12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120" w:after="120"/>
      <w:outlineLvl w:val="2"/>
    </w:pPr>
    <w:rPr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Pr>
      <w:rFonts w:ascii="Arial" w:hAnsi="Arial"/>
      <w:sz w:val="24"/>
    </w:rPr>
  </w:style>
  <w:style w:type="paragraph" w:styleId="Textkrper">
    <w:name w:val="Body Text"/>
    <w:basedOn w:val="Standard"/>
    <w:semiHidden/>
    <w:pPr>
      <w:spacing w:line="360" w:lineRule="exact"/>
    </w:pPr>
  </w:style>
  <w:style w:type="paragraph" w:styleId="Aufzhlungszeichen">
    <w:name w:val="List Bullet"/>
    <w:basedOn w:val="Standard"/>
    <w:semiHidden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1405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Umsetzung der UVP- und IVU-Richtlinie</vt:lpstr>
    </vt:vector>
  </TitlesOfParts>
  <Company>Innenverwaltung Land Baden-Württemberg</Company>
  <LinksUpToDate>false</LinksUpToDate>
  <CharactersWithSpaces>10242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Umsetzung der UVP- und IVU-Richtlinie</dc:title>
  <dc:subject/>
  <dc:creator>SA3256</dc:creator>
  <cp:keywords/>
  <dc:description/>
  <cp:lastModifiedBy>Leppert, Christine (LEL-SG)</cp:lastModifiedBy>
  <cp:revision>2</cp:revision>
  <cp:lastPrinted>2001-10-09T07:04:00Z</cp:lastPrinted>
  <dcterms:created xsi:type="dcterms:W3CDTF">2025-02-05T10:33:00Z</dcterms:created>
  <dcterms:modified xsi:type="dcterms:W3CDTF">2025-02-05T10:33:00Z</dcterms:modified>
</cp:coreProperties>
</file>