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rPr>
          <w:rFonts w:ascii="Arial" w:hAnsi="Arial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Das Fach Verbraucherkunde befähigt die Schüler und Schülerinnen ihre Rolle als Verbra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cher und Verbraucherinnen bewusst wahrzunehmen. Kenntnisse marktwirtschaftlicher Z</w:t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sammenhänge werden vermittelt, weil das Einkaufsverhalten durch</w:t>
      </w:r>
      <w:r>
        <w:rPr>
          <w:rFonts w:ascii="Arial" w:hAnsi="Arial"/>
          <w:sz w:val="22"/>
        </w:rPr>
        <w:t xml:space="preserve"> ökonomische Vorgaben und ökologische Belange beeinflusst wird.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Nachdem die angehenden Dorfhelfer und Dorfhelferinnen im Einsatz für Kinder und Jugen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liche Verantwortung tragen, müssen sie über zielgruppenspezifisches Vorgehen der We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bung sensibilisiert werden. Sie setzen sich kritisch mit der Einflussnahme von Werbestrateg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en auseinander.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Bearbeitung rechtlicher Themen erfolgt anhand von Gesetzestexten und Rechtsfällen aus der Praxis. Aktuelle Gerichtsentscheidungen werden in den Unte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richt mit einbezo</w:t>
      </w:r>
      <w:r>
        <w:rPr>
          <w:rFonts w:ascii="Arial" w:hAnsi="Arial"/>
          <w:sz w:val="22"/>
        </w:rPr>
        <w:t>gen.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 die modernen Informations- und Kommunikationsmöglichkeiten immer mehr in Priva</w:t>
      </w:r>
      <w:r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haushalten Einzug halten, werden die Schüler und Schülerinnen mit entsprechenden Med</w:t>
      </w:r>
      <w:r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enangeboten vertraut gemacht.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b/>
          <w:sz w:val="22"/>
        </w:rPr>
      </w:pPr>
      <w:r>
        <w:rPr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961"/>
        <w:gridCol w:w="1090"/>
        <w:gridCol w:w="1089"/>
        <w:gridCol w:w="10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</w:t>
            </w:r>
            <w:r>
              <w:rPr>
                <w:rFonts w:ascii="Arial" w:hAnsi="Arial"/>
                <w:b/>
                <w:sz w:val="22"/>
              </w:rPr>
              <w:br/>
              <w:t>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4961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090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089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1010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961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 xml:space="preserve">Verbraucher/Verbraucherinnen in einer 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ab/>
              <w:t>s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zialen Marktwirtschaft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09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089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961" w:type="dxa"/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</w:t>
            </w:r>
            <w:r>
              <w:rPr>
                <w:rFonts w:ascii="Arial" w:hAnsi="Arial"/>
                <w:sz w:val="22"/>
              </w:rPr>
              <w:t>bearbeitung (HOT)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Formen des Verbraucherschutzes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09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089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10" w:type="dxa"/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Rechtsgeschäfte für den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</w:t>
            </w:r>
          </w:p>
          <w:p w:rsidR="00000000" w:rsidRDefault="00F06DCC">
            <w:pPr>
              <w:tabs>
                <w:tab w:val="left" w:pos="355"/>
              </w:tabs>
              <w:spacing w:before="40"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09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1089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01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40" w:after="4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</w:tcPr>
          <w:p w:rsidR="00000000" w:rsidRDefault="00F06DC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961" w:type="dxa"/>
          </w:tcPr>
          <w:p w:rsidR="00000000" w:rsidRDefault="00F06DCC">
            <w:pPr>
              <w:tabs>
                <w:tab w:val="left" w:pos="355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090" w:type="dxa"/>
          </w:tcPr>
          <w:p w:rsidR="00000000" w:rsidRDefault="00F06DCC">
            <w:pPr>
              <w:spacing w:before="120" w:after="120"/>
              <w:ind w:right="214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89" w:type="dxa"/>
          </w:tcPr>
          <w:p w:rsidR="00000000" w:rsidRDefault="00F06DCC">
            <w:pPr>
              <w:spacing w:before="120" w:after="120"/>
              <w:ind w:right="214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120</w:t>
            </w:r>
          </w:p>
        </w:tc>
        <w:tc>
          <w:tcPr>
            <w:tcW w:w="1010" w:type="dxa"/>
          </w:tcPr>
          <w:p w:rsidR="00000000" w:rsidRDefault="00F06DCC">
            <w:pPr>
              <w:spacing w:before="120" w:after="120"/>
              <w:ind w:right="214"/>
              <w:jc w:val="right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2.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Zukunftswerkstatt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Die Themenauswahl </w:t>
            </w:r>
            <w:r>
              <w:rPr>
                <w:rFonts w:ascii="Arial" w:hAnsi="Arial"/>
                <w:sz w:val="22"/>
              </w:rPr>
              <w:t>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 </w:t>
      </w:r>
      <w:r>
        <w:rPr>
          <w:rFonts w:ascii="Arial" w:hAnsi="Arial"/>
          <w:b/>
          <w:sz w:val="22"/>
        </w:rPr>
        <w:tab/>
        <w:t>Verbraucher/Verbraucherinnen in einer sozialen Marktwirtschaft</w:t>
      </w:r>
      <w:r>
        <w:rPr>
          <w:rFonts w:ascii="Arial" w:hAnsi="Arial"/>
          <w:b/>
          <w:sz w:val="22"/>
        </w:rPr>
        <w:tab/>
        <w:t>25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Marktgeschehen beschre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Angebot und Nachfrage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Preisbildung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Einflussfaktoren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Einkaufsstätten der Region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werten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Direktvermarkter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Deutsche Handelslan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schaft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Homeshopping im Inte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net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Wettbewerbsdynamik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Lebensmittelei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zelhandelsdiscounter, Tankstellen-Shops, Exklusiv-Kaufhäuser, Elektrofac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handel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1.3</w:t>
            </w:r>
          </w:p>
        </w:tc>
        <w:tc>
          <w:tcPr>
            <w:tcW w:w="2126" w:type="dxa"/>
          </w:tcPr>
          <w:p w:rsidR="00000000" w:rsidRDefault="00F06DC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Änderungen im Ve</w:t>
            </w:r>
            <w:r>
              <w:rPr>
                <w:rFonts w:ascii="Arial" w:hAnsi="Arial"/>
                <w:sz w:val="22"/>
              </w:rPr>
              <w:t>rbraucher-</w:t>
            </w:r>
            <w:r>
              <w:rPr>
                <w:rFonts w:ascii="Arial" w:hAnsi="Arial"/>
                <w:sz w:val="22"/>
              </w:rPr>
              <w:br/>
              <w:t>verhalten erläutern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Sozio-demographische En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wicklung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Ökonomische Einflüsse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1.4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Werbemaß-</w:t>
            </w:r>
            <w:r>
              <w:rPr>
                <w:rFonts w:ascii="Arial" w:hAnsi="Arial"/>
                <w:sz w:val="22"/>
              </w:rPr>
              <w:br/>
              <w:t>nahmen für 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gewählte Zie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gruppen beurte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len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Werbung als Bestandteil des Mark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ting-Modells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Beeinflussung des Verbraucherve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haltens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Verkaufsstrategien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Werbeträger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Grenzen der Werbung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Werbung für Kids, </w:t>
            </w:r>
            <w:r>
              <w:rPr>
                <w:rFonts w:ascii="Arial" w:hAnsi="Arial"/>
                <w:sz w:val="22"/>
              </w:rPr>
              <w:br/>
              <w:t>Onl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ne-Werbung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Schüttplatzierung, Regaleinteilung, Verpa</w:t>
            </w:r>
            <w:r>
              <w:rPr>
                <w:rFonts w:ascii="Arial" w:hAnsi="Arial"/>
                <w:sz w:val="22"/>
              </w:rPr>
              <w:t>c</w:t>
            </w:r>
            <w:r>
              <w:rPr>
                <w:rFonts w:ascii="Arial" w:hAnsi="Arial"/>
                <w:sz w:val="22"/>
              </w:rPr>
              <w:t>kung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Anzeigen, Ferns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hen, Radio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8364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Zukunftswerkstatt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 </w:t>
      </w:r>
      <w:r>
        <w:rPr>
          <w:rFonts w:ascii="Arial" w:hAnsi="Arial"/>
          <w:b/>
          <w:sz w:val="22"/>
        </w:rPr>
        <w:tab/>
        <w:t>Formen des Verbraucherschutzes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 25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Warenkennzeich-nung als Inform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tionspflicht für Verkäufer/Ve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käuferinnen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kennen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Bestimmungen für Direktve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markter</w:t>
            </w:r>
          </w:p>
        </w:tc>
        <w:tc>
          <w:tcPr>
            <w:tcW w:w="2335" w:type="dxa"/>
          </w:tcPr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Eichgesetz, Preis-</w:t>
            </w:r>
            <w:r>
              <w:rPr>
                <w:rFonts w:ascii="Arial" w:hAnsi="Arial"/>
                <w:sz w:val="22"/>
              </w:rPr>
              <w:br/>
              <w:t>ang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be-VO, EU-Vermarktungs-</w:t>
            </w:r>
            <w:r>
              <w:rPr>
                <w:rFonts w:ascii="Arial" w:hAnsi="Arial"/>
                <w:sz w:val="22"/>
              </w:rPr>
              <w:br/>
              <w:t xml:space="preserve">normen, Lebens- 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 xml:space="preserve">telkennzeichnungs-VO </w:t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Vgl. LPE 11, Ernä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rungslehre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Bestimmungen vo</w:t>
            </w:r>
            <w:r>
              <w:rPr>
                <w:rFonts w:ascii="Arial" w:hAnsi="Arial"/>
                <w:sz w:val="22"/>
              </w:rPr>
              <w:t>n Verbrauche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schutzgesetzen fallbezogen a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wenden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Wettbewerbsrechtliche Reg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lungen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 gegen den unlauteren Wettb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werb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 gegen Wettbewerbsb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schränkungen</w:t>
            </w:r>
          </w:p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Abzahlungs- und Haustürg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schäfte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Verbraucherkreditgesetz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Haustürwiderrufsgesetz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Produkthaftungsgesetz/</w:t>
            </w:r>
            <w:r>
              <w:rPr>
                <w:rFonts w:ascii="Arial" w:hAnsi="Arial"/>
                <w:sz w:val="22"/>
              </w:rPr>
              <w:br/>
              <w:t>Produktsicherheitsgesetz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Aktuelle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richts-entscheidungen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 mit Gese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zestexten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Firmenunab-</w:t>
            </w:r>
            <w:r>
              <w:rPr>
                <w:rFonts w:ascii="Arial" w:hAnsi="Arial"/>
                <w:sz w:val="22"/>
              </w:rPr>
              <w:br/>
              <w:t>hängige Inform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tion und Beratung des Verbrauchers nutzen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Beschaffung von Gütern und Dienstleistungen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Beratungsstellen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 w:rsidP="00F06DCC">
            <w:pPr>
              <w:numPr>
                <w:ilvl w:val="12"/>
                <w:numId w:val="0"/>
              </w:numPr>
              <w:ind w:left="283" w:right="188" w:hanging="283"/>
              <w:rPr>
                <w:rFonts w:ascii="Arial" w:hAnsi="Arial"/>
                <w:sz w:val="22"/>
              </w:rPr>
            </w:pP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Medieninformation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Verbraucherzentrale, </w:t>
            </w:r>
            <w:r>
              <w:rPr>
                <w:rFonts w:ascii="Arial" w:hAnsi="Arial"/>
                <w:sz w:val="22"/>
              </w:rPr>
              <w:br/>
              <w:t>-beratungsstellen, Verbraucher-, Miete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schutzverein, Bu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desinstitut für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sundheitlichen 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braucherschutz und Veterinärmed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zin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Stiftung Warentest, AID, DGE, Zentra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stelle für rationelles Haushalten - Ber</w:t>
            </w:r>
            <w:r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tungsdienst der Sparkassen, Ernä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rungszentren, Rundfunk- und Fernsehbeiträge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tabs>
          <w:tab w:val="left" w:pos="8505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sz w:val="22"/>
        </w:rPr>
      </w:pPr>
    </w:p>
    <w:p w:rsidR="00000000" w:rsidRDefault="00F06DCC">
      <w:pPr>
        <w:tabs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Projekt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Erkundung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Befragung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Exku</w:t>
            </w:r>
            <w:r>
              <w:rPr>
                <w:rFonts w:ascii="Arial" w:hAnsi="Arial"/>
                <w:sz w:val="22"/>
              </w:rPr>
              <w:t>rsion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Zukunftswerkstatt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ind w:left="4678" w:hanging="4678"/>
        <w:rPr>
          <w:rFonts w:ascii="Arial" w:hAnsi="Arial"/>
          <w:sz w:val="22"/>
        </w:rPr>
      </w:pPr>
    </w:p>
    <w:p w:rsidR="00000000" w:rsidRDefault="00F06DCC">
      <w:pPr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 </w:t>
      </w:r>
      <w:r>
        <w:rPr>
          <w:rFonts w:ascii="Arial" w:hAnsi="Arial"/>
          <w:b/>
          <w:sz w:val="22"/>
        </w:rPr>
        <w:tab/>
        <w:t>Rechtsgeschäfte für den Einsatzhaushalt</w:t>
      </w:r>
      <w:r>
        <w:rPr>
          <w:rFonts w:ascii="Arial" w:hAnsi="Arial"/>
          <w:b/>
          <w:sz w:val="22"/>
        </w:rPr>
        <w:tab/>
        <w:t xml:space="preserve"> 25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Abschluss eines Kaufvertrags aus der Sicht des Konsumenten und Anbieters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Vorgehensweise beim A</w:t>
            </w:r>
            <w:r>
              <w:rPr>
                <w:rFonts w:ascii="Arial" w:hAnsi="Arial"/>
                <w:sz w:val="22"/>
              </w:rPr>
              <w:t>b</w:t>
            </w:r>
            <w:r>
              <w:rPr>
                <w:rFonts w:ascii="Arial" w:hAnsi="Arial"/>
                <w:sz w:val="22"/>
              </w:rPr>
              <w:t xml:space="preserve">schluss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Verpflichtungs-, Erfüllungsg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schäft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Inhalt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Art, Beschaffenheit und Güte 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ner Ware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Lieferungs- und Zahlungsbedi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Preisnachlässe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Verpackungs- und Versan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kosten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Erfüllungsort, 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richtsstand</w:t>
            </w: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</w:t>
            </w:r>
            <w:r>
              <w:rPr>
                <w:rFonts w:ascii="Arial" w:hAnsi="Arial"/>
                <w:sz w:val="22"/>
              </w:rPr>
              <w:t>ektvermarktung, hauswirtschaftliche Dienstle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stungen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Kaufvertrags-</w:t>
            </w:r>
            <w:r>
              <w:rPr>
                <w:rFonts w:ascii="Arial" w:hAnsi="Arial"/>
                <w:sz w:val="22"/>
              </w:rPr>
              <w:br/>
              <w:t>störungen und i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 Folgen für die Vertragspartner darste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len</w:t>
            </w:r>
          </w:p>
        </w:tc>
        <w:tc>
          <w:tcPr>
            <w:tcW w:w="3969" w:type="dxa"/>
          </w:tcPr>
          <w:p w:rsidR="00000000" w:rsidRDefault="00F06DCC">
            <w:pPr>
              <w:ind w:right="18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Störung bei der Erfüllung 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Mangelhafte Lieferung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Lieferungsverzug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Annahmeverzug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Zahlungsverzug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Verjährung von Ford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ind w:left="284" w:right="188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Verjährungsfristen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Haftung und Schaden-</w:t>
            </w:r>
            <w:r>
              <w:rPr>
                <w:rFonts w:ascii="Arial" w:hAnsi="Arial"/>
                <w:sz w:val="22"/>
              </w:rPr>
              <w:br/>
              <w:t>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satz</w:t>
            </w:r>
          </w:p>
        </w:tc>
        <w:tc>
          <w:tcPr>
            <w:tcW w:w="2335" w:type="dxa"/>
          </w:tcPr>
          <w:p w:rsidR="00000000" w:rsidRDefault="00F06DCC">
            <w:pPr>
              <w:ind w:right="-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AGB-Bestimmungen, gesetzliche Gewäh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leistungsansprüche, Verbraucherinsol-</w:t>
            </w:r>
            <w:r>
              <w:rPr>
                <w:rFonts w:ascii="Arial" w:hAnsi="Arial"/>
                <w:sz w:val="22"/>
              </w:rPr>
              <w:br/>
              <w:t>venzverfahren (Ver-braucherkonkurs)</w:t>
            </w:r>
          </w:p>
          <w:p w:rsidR="00000000" w:rsidRDefault="00F06DCC">
            <w:pPr>
              <w:ind w:right="188"/>
              <w:rPr>
                <w:rFonts w:ascii="Arial" w:hAnsi="Arial"/>
                <w:sz w:val="18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18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18"/>
              </w:rPr>
            </w:pP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Vertragliche Ha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tung, schuldhafte Vertragsverletzung, unerlaubte Han</w:t>
            </w:r>
            <w:r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lung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.3</w:t>
            </w:r>
          </w:p>
        </w:tc>
        <w:tc>
          <w:tcPr>
            <w:tcW w:w="2126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 der m</w:t>
            </w:r>
            <w:r>
              <w:rPr>
                <w:rFonts w:ascii="Arial" w:hAnsi="Arial"/>
                <w:sz w:val="22"/>
              </w:rPr>
              <w:t>o</w:t>
            </w:r>
            <w:r>
              <w:rPr>
                <w:rFonts w:ascii="Arial" w:hAnsi="Arial"/>
                <w:sz w:val="22"/>
              </w:rPr>
              <w:t>dernen Einkaufs- und Zahlung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möglichkeiten kennen</w:t>
            </w:r>
          </w:p>
        </w:tc>
        <w:tc>
          <w:tcPr>
            <w:tcW w:w="3969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Haftung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Verlust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Missbrauch</w:t>
            </w:r>
          </w:p>
        </w:tc>
        <w:tc>
          <w:tcPr>
            <w:tcW w:w="2335" w:type="dxa"/>
          </w:tcPr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Kreditkarte, Hom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banking mittels T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lefon und Internet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 zur Reg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lung der Rahme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bedingungen für Informations- und Kommunikation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dienste</w:t>
            </w:r>
          </w:p>
          <w:p w:rsidR="00000000" w:rsidRDefault="00F06DCC">
            <w:pPr>
              <w:ind w:right="188"/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clear" w:pos="4536"/>
        <w:tab w:val="left" w:pos="6521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 xml:space="preserve">Ministerium Ländlicher Raum - Abt. 4, Ref. 47, Frauen, Familie und </w:t>
    </w:r>
    <w:r>
      <w:rPr>
        <w:rFonts w:ascii="Arial" w:hAnsi="Arial"/>
        <w:b/>
      </w:rPr>
      <w:br/>
      <w:t xml:space="preserve">                                                         </w:t>
    </w:r>
    <w:r>
      <w:rPr>
        <w:rFonts w:ascii="Arial" w:hAnsi="Arial"/>
        <w:b/>
      </w:rPr>
      <w:t xml:space="preserve">                      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Verbraucherkunde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Verbraucherkunde.doc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</w:pPr>
    <w:r>
      <w:t>12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Schulhalbjahre: 2</w:t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  <w:t>3</w:t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  <w:t>4</w:t>
    </w:r>
  </w:p>
  <w:p w:rsidR="00000000" w:rsidRDefault="00F06DCC">
    <w:pPr>
      <w:pStyle w:val="Kopfzeile"/>
      <w:tabs>
        <w:tab w:val="clear" w:pos="4536"/>
        <w:tab w:val="left" w:pos="5245"/>
        <w:tab w:val="left" w:pos="6379"/>
        <w:tab w:val="left" w:pos="6521"/>
      </w:tabs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tabs>
        <w:tab w:val="clear" w:pos="4536"/>
      </w:tabs>
      <w:ind w:right="360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19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06BD-A518-4F57-A651-348F040B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770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2000-05-15T06:57:00Z</cp:lastPrinted>
  <dcterms:created xsi:type="dcterms:W3CDTF">2021-07-14T09:23:00Z</dcterms:created>
  <dcterms:modified xsi:type="dcterms:W3CDTF">2021-07-14T09:23:00Z</dcterms:modified>
</cp:coreProperties>
</file>