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spacing w:after="120"/>
        <w:rPr>
          <w:rFonts w:ascii="Arial" w:hAnsi="Arial"/>
          <w:sz w:val="22"/>
        </w:rPr>
      </w:pP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Unterricht in Ernährungslehre, Nahrungszubereitung baut auf den Kenntnissen und Fe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tigkeiten der Schüler und Schülerinnen auf. Die Vermittlung der Ziele und Inhalte trägt zum Verständnis der Zusammenhänge zwischen Ernährung eine</w:t>
      </w:r>
      <w:r>
        <w:rPr>
          <w:rFonts w:ascii="Arial" w:hAnsi="Arial"/>
          <w:sz w:val="22"/>
        </w:rPr>
        <w:t>rseits und Gesundheit und Le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stungsfähigkeit andererseits bei. Das Interesse für Ernährungsfragen wird gefördert und das Ernährungsverhalten kritisch bewertet. Die Schüler und Schülerinnen sind fähig eine ausg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wogene und bedarfsgerechte Kost zusammenzustellen. Künftige Dorfhelfer und Dorfhelferi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nen beachten die Maßnahmen des Umweltschutzes, der Energieeinsparung und der Arbeit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sicherheit. Im Bereich Ernährung richten sie sich überwiegend nach der Lebensweise ihrer Einsat</w:t>
      </w:r>
      <w:r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familie.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bereiten Speisen unter</w:t>
      </w:r>
      <w:r>
        <w:rPr>
          <w:rFonts w:ascii="Arial" w:hAnsi="Arial"/>
          <w:sz w:val="22"/>
        </w:rPr>
        <w:t xml:space="preserve"> Berücksichtigung von ernährungsphysiologischen, wirtschaftl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chen, hygienischen und geschmacklichen Gesichtspunkten zu. Im ländlichen und landwir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schaftlichen Einsatzhaushalt verarbeiten Schüler und Schülerinnen regionale und saisonale Erzeugnisse. Das erfordert entsprechende Speisenplanung, -herstellung und Vorratshaltung, dabei sind Arbei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stechniken zu üben.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produktionstechnischen und agrarpolitischen Bedingungen der Lebensmittelerzeugung landwirtschaftlicher Betriebe berücksichtigen sie bei der Berei</w:t>
      </w:r>
      <w:r>
        <w:rPr>
          <w:rFonts w:ascii="Arial" w:hAnsi="Arial"/>
          <w:sz w:val="22"/>
        </w:rPr>
        <w:t>tstellung der Verpflegung.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Lehrplanübersicht 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5158"/>
        <w:gridCol w:w="1257"/>
        <w:gridCol w:w="1256"/>
        <w:gridCol w:w="1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Schul-halb-</w:t>
            </w:r>
            <w:r>
              <w:rPr>
                <w:rFonts w:ascii="Arial" w:hAnsi="Arial"/>
                <w:b/>
                <w:sz w:val="22"/>
              </w:rPr>
              <w:br/>
              <w:t>jahr</w:t>
            </w:r>
          </w:p>
        </w:tc>
        <w:tc>
          <w:tcPr>
            <w:tcW w:w="5158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257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256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58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Fachtheoretisches Halbjahr (FTH)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Bereich Ernährungslehre 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>Bedarfsgerechte Ernährung I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Inhaltsstoffe der Nahrung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>Bedarfsgerechte Ernährung II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Wiederholung und Vertiefung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Bereich Nahrungszubereitung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>Grundsätze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Speisenfolge</w:t>
            </w:r>
          </w:p>
        </w:tc>
        <w:tc>
          <w:tcPr>
            <w:tcW w:w="1257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58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ab/>
              <w:t>Speisenplanung für die Einsatzfamilie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ab/>
              <w:t>Bewertung von Lebensmitteln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ab/>
              <w:t>Speisenfolgen und Gebäck</w:t>
            </w:r>
            <w:r>
              <w:rPr>
                <w:rFonts w:ascii="Arial" w:hAnsi="Arial"/>
                <w:sz w:val="22"/>
              </w:rPr>
              <w:t xml:space="preserve"> im Einsatz-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Verti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fung</w:t>
            </w:r>
          </w:p>
        </w:tc>
        <w:tc>
          <w:tcPr>
            <w:tcW w:w="1257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256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048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58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ab/>
              <w:t xml:space="preserve">Zusammensetzung von Diäten und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 xml:space="preserve">Sonderkostformen 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ab/>
              <w:t>Herstellung von Diäten und Sonder-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kostfo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men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ab/>
              <w:t>Verfahren der Lebensmittelbevorratung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im Einsatzhaushalt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Verti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fung</w:t>
            </w:r>
          </w:p>
        </w:tc>
        <w:tc>
          <w:tcPr>
            <w:tcW w:w="1257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256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048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58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ab/>
              <w:t>Schadstoffe in Lebensmitteln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ab/>
              <w:t>Bestimmungen aus dem Lebensmittelr</w:t>
            </w:r>
            <w:r>
              <w:rPr>
                <w:rFonts w:ascii="Arial" w:hAnsi="Arial"/>
                <w:sz w:val="22"/>
              </w:rPr>
              <w:t>echt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ab/>
              <w:t>Gerichte für das kleine Budget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 für Leistungsfeststellung und mögliche</w:t>
            </w:r>
            <w:r>
              <w:rPr>
                <w:rFonts w:ascii="Arial" w:hAnsi="Arial"/>
                <w:sz w:val="22"/>
              </w:rPr>
              <w:br/>
              <w:t>Verti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fung</w:t>
            </w:r>
          </w:p>
        </w:tc>
        <w:tc>
          <w:tcPr>
            <w:tcW w:w="1257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256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048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158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ind w:left="426" w:hanging="426"/>
              <w:rPr>
                <w:rFonts w:ascii="Arial" w:hAnsi="Arial"/>
                <w:sz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416</w:t>
            </w:r>
          </w:p>
        </w:tc>
        <w:tc>
          <w:tcPr>
            <w:tcW w:w="1048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13</w:t>
      </w: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tabs>
          <w:tab w:val="left" w:pos="5812"/>
        </w:tabs>
        <w:ind w:left="4678" w:hanging="4678"/>
        <w:rPr>
          <w:rFonts w:ascii="Arial" w:hAnsi="Arial"/>
          <w:sz w:val="22"/>
        </w:rPr>
      </w:pPr>
    </w:p>
    <w:p w:rsidR="00000000" w:rsidRDefault="00F06DCC">
      <w:pPr>
        <w:pBdr>
          <w:top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 </w:t>
      </w:r>
      <w:r>
        <w:rPr>
          <w:rFonts w:ascii="Arial" w:hAnsi="Arial"/>
          <w:b/>
          <w:sz w:val="22"/>
        </w:rPr>
        <w:tab/>
        <w:t xml:space="preserve">Speisenplanung für die Einsatzfamilie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Speisepläne für Einsatzfamilien au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312" w:hanging="3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Gesich</w:t>
            </w:r>
            <w:r>
              <w:rPr>
                <w:rFonts w:ascii="Arial" w:hAnsi="Arial"/>
                <w:sz w:val="22"/>
              </w:rPr>
              <w:t>tspunkte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Bedarfsdeckung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Nährstoffrelation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Menügestaltung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Arbeitszeit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Regionalität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Erzeugnisse aus dem landwir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schaftlichen Betrieb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Verwendung der Haus</w:t>
            </w:r>
            <w:r>
              <w:rPr>
                <w:rFonts w:ascii="Arial" w:hAnsi="Arial"/>
                <w:sz w:val="22"/>
              </w:rPr>
              <w:softHyphen/>
              <w:t>gartenprodukte</w:t>
            </w:r>
          </w:p>
          <w:p w:rsidR="00000000" w:rsidRDefault="00F06DCC">
            <w:pPr>
              <w:tabs>
                <w:tab w:val="left" w:pos="5670"/>
              </w:tabs>
              <w:ind w:left="312" w:hanging="312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Einzelpersonen mit besonderem Bedarf berücksichtigen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Preiswerte Verpfl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gung bei knappem Lebensmitteletat</w:t>
            </w:r>
          </w:p>
        </w:tc>
      </w:tr>
    </w:tbl>
    <w:p w:rsidR="00000000" w:rsidRDefault="00F06DCC"/>
    <w:p w:rsidR="00000000" w:rsidRDefault="00F06DCC"/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 </w:t>
      </w:r>
      <w:r>
        <w:rPr>
          <w:rFonts w:ascii="Arial" w:hAnsi="Arial"/>
          <w:b/>
          <w:sz w:val="22"/>
        </w:rPr>
        <w:tab/>
        <w:t>Bewertung von Lebensmitteln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Qualität der 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bensmittel beu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teilen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Ernährungsphysiologischer Wert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Genusswert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Verarbeitungseignung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Ökologischer Wert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Soziokultureller Wert 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Vorteile der lan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wirtschaftlichen Produkte der </w:t>
            </w:r>
            <w:r>
              <w:rPr>
                <w:rFonts w:ascii="Arial" w:hAnsi="Arial"/>
                <w:sz w:val="22"/>
              </w:rPr>
              <w:t>Reg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on und Saison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Lebensmittel fachgerecht 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wählen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Ansprüche der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familie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Übliche Lebensmitt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lauswahl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Entscheidungskriterien des/der 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Dor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helfers/in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Religiöse Rüc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sichtnahme, evtl. Verbesserungs-vorschläge, vorha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dener Vorrat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/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6 </w:t>
      </w:r>
      <w:r>
        <w:rPr>
          <w:rFonts w:ascii="Arial" w:hAnsi="Arial"/>
          <w:b/>
          <w:sz w:val="22"/>
        </w:rPr>
        <w:tab/>
        <w:t>Speisenfolgen und Gebäck im Einsatzhaushalt</w:t>
      </w:r>
      <w:r>
        <w:rPr>
          <w:rFonts w:ascii="Arial" w:hAnsi="Arial"/>
          <w:b/>
          <w:sz w:val="22"/>
        </w:rPr>
        <w:tab/>
        <w:t>37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Speisenfolgen für verschiedene Anlässe zubere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Mittagessen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Abendessen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Zwischenmahlzeiten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Festmenü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Büfetts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Ergänzung von A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ßer-Haus-Verpfle-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gung, Schulfrühstück, Bauernvesper, evtl. Mi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hilfe b</w:t>
            </w:r>
            <w:r>
              <w:rPr>
                <w:rFonts w:ascii="Arial" w:hAnsi="Arial"/>
                <w:sz w:val="22"/>
              </w:rPr>
              <w:t>eim Land-frauenservice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Gebäck für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schiedene Anlä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se he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Kleingebäck, Kuchen, </w:t>
            </w:r>
            <w:r>
              <w:rPr>
                <w:rFonts w:ascii="Arial" w:hAnsi="Arial"/>
                <w:sz w:val="22"/>
              </w:rPr>
              <w:br/>
              <w:t>To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Belag, Guss, Füllung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Leh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 xml:space="preserve">plan </w:t>
            </w:r>
            <w:r>
              <w:rPr>
                <w:rFonts w:ascii="Arial" w:hAnsi="Arial"/>
                <w:sz w:val="22"/>
              </w:rPr>
              <w:br/>
              <w:t>1. FTH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Gebäck für trad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tionelle Anlässe herstellen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Regionale Feste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Weihnachten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Fasching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Ostern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Beteiligung von Ki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dern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b/>
        </w:rPr>
        <w:t xml:space="preserve">3. </w:t>
      </w:r>
      <w:r>
        <w:rPr>
          <w:rFonts w:ascii="Arial" w:hAnsi="Arial"/>
          <w:b/>
          <w:sz w:val="22"/>
        </w:rPr>
        <w:t>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</w:t>
            </w:r>
            <w:r>
              <w:rPr>
                <w:rFonts w:ascii="Arial" w:hAnsi="Arial"/>
                <w:sz w:val="22"/>
              </w:rPr>
              <w:t>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pBdr>
          <w:top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ab/>
        <w:t xml:space="preserve">Zusammensetzung von Diäten und Sonderkostformen </w:t>
      </w:r>
      <w:r>
        <w:rPr>
          <w:rFonts w:ascii="Arial" w:hAnsi="Arial"/>
          <w:b/>
          <w:sz w:val="22"/>
        </w:rPr>
        <w:tab/>
        <w:t>13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Leichte Vollkost planen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Lebensmittelintoleranzen 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Erstellung von Kostplänen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Bedürfnisse von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zelpersonen in der Einsatzfamilie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Diäten für Diabet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ker zusammen-stellen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Krankheitsbilder bei Diabetes me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 xml:space="preserve">litus 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Diätregeln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Erstellung von Kostplänen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Ärztliche Anordnung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Natriumarme Kost planen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tregeln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Natriumgehalte von Spe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sen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7.4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Reduktionskost gestalten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Folgen von Übergewicht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Energiereduzierte K</w:t>
            </w:r>
            <w:r>
              <w:rPr>
                <w:rFonts w:ascii="Arial" w:hAnsi="Arial"/>
                <w:sz w:val="22"/>
              </w:rPr>
              <w:t>ost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Essverhalten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Essstörungen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7.5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Vegetarische Kostformen beu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teilen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Lacto-vegetabile-Kost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Ovo-lacto-vegetabile-Kost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Veganische Kost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Gicht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</w:rPr>
        <w:t>3.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 </w:t>
      </w:r>
      <w:r>
        <w:rPr>
          <w:rFonts w:ascii="Arial" w:hAnsi="Arial"/>
          <w:b/>
          <w:sz w:val="22"/>
        </w:rPr>
        <w:tab/>
        <w:t>Herstellung von Diäten und Sonderkostformen</w:t>
      </w:r>
      <w:r>
        <w:rPr>
          <w:rFonts w:ascii="Arial" w:hAnsi="Arial"/>
          <w:b/>
          <w:sz w:val="22"/>
        </w:rPr>
        <w:tab/>
        <w:t xml:space="preserve"> 24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8.1</w:t>
            </w:r>
          </w:p>
        </w:tc>
        <w:tc>
          <w:tcPr>
            <w:tcW w:w="2126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Sonderkostformen he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Lebensmittelauswahl und Zubere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tungsarten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Leichte Vollkost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Natriumarme Kost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Reduktionskost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Vegetarische Kost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Diabetes mellitus-Kost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7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9 </w:t>
      </w:r>
      <w:r>
        <w:rPr>
          <w:rFonts w:ascii="Arial" w:hAnsi="Arial"/>
          <w:b/>
          <w:sz w:val="22"/>
        </w:rPr>
        <w:tab/>
        <w:t>Verfahren der Lebensmittelbevorratung im Einsatzhaushalt</w:t>
      </w:r>
      <w:r>
        <w:rPr>
          <w:rFonts w:ascii="Arial" w:hAnsi="Arial"/>
          <w:b/>
          <w:sz w:val="22"/>
        </w:rPr>
        <w:tab/>
        <w:t>13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Vorräte für die Einsatzfamilie herstellen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Lebensmitteleignung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Konservierungsmethoden 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für Obst, Gemüse 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 Fleisch  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Tiefgefrieren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Sterilisieren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Konfitüre-, Fruchtaufstrich-, Gele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herste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lung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Trocknen</w:t>
            </w:r>
          </w:p>
          <w:p w:rsidR="00000000" w:rsidRDefault="00F06DCC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Sachgerechte Lagerung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Aufbereitung für Dienstleistung und Vermar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tung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Fleischzerlegeschau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t>4.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13</w:t>
      </w: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top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z w:val="22"/>
        </w:rPr>
        <w:tab/>
        <w:t xml:space="preserve">Schadstoffe in Lebensmitteln </w:t>
      </w:r>
      <w:r>
        <w:rPr>
          <w:rFonts w:ascii="Arial" w:hAnsi="Arial"/>
          <w:b/>
          <w:sz w:val="22"/>
        </w:rPr>
        <w:tab/>
        <w:t>15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von Schadstoffen in Lebensmitteln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kennen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Natürliche Inhaltsstoffe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Umwelteinflüsse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Rückstände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Exemplarisch 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1. FTH, Lan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wirtschaftliche Pr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duktion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Höchstmengen sachlich betrac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Tierversuche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ADI-Wert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Höchstmengen-Verordnungen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Restrisiko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Aktuelle Meldungen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Gesundheitliche Gefahren durch Lebensmitte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verderb vermeiden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Verursacher  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Mikroorganismen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tierische Schädlinge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Lebensmittelinfektionen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Hygienemaßnahmen</w:t>
            </w:r>
            <w:r>
              <w:rPr>
                <w:rFonts w:ascii="Arial" w:hAnsi="Arial"/>
                <w:sz w:val="22"/>
              </w:rPr>
              <w:t xml:space="preserve"> des/der Dorfhelfers/in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t>4.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z w:val="22"/>
        </w:rPr>
        <w:tab/>
        <w:t xml:space="preserve">Bestimmungen aus dem Lebensmittelrecht </w:t>
      </w:r>
      <w:r>
        <w:rPr>
          <w:rFonts w:ascii="Arial" w:hAnsi="Arial"/>
          <w:b/>
          <w:sz w:val="22"/>
        </w:rPr>
        <w:tab/>
        <w:t>10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Verantwortung des/der Dorfhe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fers/in nach dem Lebensmittel- und Bedarfsgegen-ständegesetz (LMBG) kennen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Grundsätze der Lebensmittelübe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wachung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Kennzeichnung von Lebensmitteln einordnen und anwenden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Kennzeichnungselemente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Verkehrsbezeichnung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Zutatenverzeichnis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Mindesthaltbarkeitsdatum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Zusatzstoffe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Novel Food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Hauswirtschaftliche Dienstleistungen,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Vermarktung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2,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brauche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kunde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12.</w:t>
      </w:r>
      <w:r>
        <w:rPr>
          <w:rFonts w:ascii="Arial" w:hAnsi="Arial"/>
          <w:b/>
          <w:sz w:val="22"/>
        </w:rPr>
        <w:tab/>
        <w:t>Gerichte</w:t>
      </w:r>
      <w:r>
        <w:rPr>
          <w:rFonts w:ascii="Arial" w:hAnsi="Arial"/>
          <w:b/>
          <w:sz w:val="22"/>
        </w:rPr>
        <w:t xml:space="preserve"> für das kleine Budget </w:t>
      </w:r>
      <w:r>
        <w:rPr>
          <w:rFonts w:ascii="Arial" w:hAnsi="Arial"/>
          <w:b/>
          <w:sz w:val="22"/>
        </w:rPr>
        <w:tab/>
        <w:t xml:space="preserve"> 37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Schnellgerichte für den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haushalt</w:t>
            </w:r>
            <w:r>
              <w:rPr>
                <w:rFonts w:ascii="Arial" w:hAnsi="Arial"/>
                <w:sz w:val="22"/>
              </w:rPr>
              <w:br/>
              <w:t>herste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Menübeispiele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Aufläufe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Eierspeisen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Hackfleischgerichte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Pfannengerichte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Verwendung von vorgefertigen 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bensmitteln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Kostengünstige Gerichte für den Einsatzhaushalt herstellen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Menübeispiele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Eintöpfe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Kartoffel-/Nudelg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richte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Milch- und Süßspe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sen 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ind w:left="1134" w:hanging="1134"/>
      <w:rPr>
        <w:rFonts w:ascii="Arial" w:hAnsi="Arial"/>
        <w:sz w:val="20"/>
      </w:rPr>
    </w:pPr>
  </w:p>
  <w:p w:rsidR="00000000" w:rsidRDefault="00F06DCC">
    <w:pPr>
      <w:pStyle w:val="Fuzeile"/>
      <w:tabs>
        <w:tab w:val="left" w:pos="6521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tab/>
    </w:r>
    <w:r>
      <w:rPr>
        <w:rFonts w:ascii="Arial" w:hAnsi="Arial"/>
        <w:b/>
      </w:rPr>
      <w:t>Ministerium Ländlicher Raum -</w:t>
    </w:r>
    <w:r>
      <w:rPr>
        <w:rFonts w:ascii="Arial" w:hAnsi="Arial"/>
        <w:b/>
      </w:rPr>
      <w:t xml:space="preserve"> Abt. 4, Ref. 47,  Frauen, Familie und</w:t>
    </w:r>
    <w:r>
      <w:rPr>
        <w:rFonts w:ascii="Arial" w:hAnsi="Arial"/>
        <w:b/>
      </w:rPr>
      <w:br/>
    </w:r>
    <w:r>
      <w:rPr>
        <w:rFonts w:ascii="Arial" w:hAnsi="Arial"/>
        <w:b/>
      </w:rPr>
      <w:tab/>
      <w:t xml:space="preserve">                                                                     Beruf</w:t>
    </w:r>
  </w:p>
  <w:p w:rsidR="00000000" w:rsidRDefault="00F06DCC">
    <w:pPr>
      <w:pStyle w:val="Fuzeile"/>
      <w:ind w:left="1134" w:hanging="1134"/>
      <w:rPr>
        <w:rFonts w:ascii="Arial" w:hAnsi="Arial"/>
      </w:rPr>
    </w:pP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 xml:space="preserve">Fachschule für ländlich-hauswirtschaftliche Berufe - </w:t>
    </w:r>
    <w:r>
      <w:rPr>
        <w:rFonts w:ascii="Arial" w:hAnsi="Arial"/>
        <w:sz w:val="20"/>
      </w:rPr>
      <w:br/>
      <w:t>Fachrichtung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20"/>
      </w:rPr>
      <w:t>Ernährungslehre, Nahrungszubereitung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ernährungslehre.doc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Fonts w:ascii="Arial" w:hAnsi="Arial"/>
        <w:b/>
      </w:rPr>
    </w:pPr>
    <w:r>
      <w:t>28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 xml:space="preserve">ländlich-hauswirtschaftliche Berufe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Schulhalbjahr: 2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b/>
        <w:sz w:val="22"/>
      </w:rPr>
      <w:t>3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sz w:val="22"/>
      </w:rPr>
    </w:pPr>
    <w:r>
      <w:rPr>
        <w:rFonts w:ascii="Arial" w:hAnsi="Arial"/>
        <w:b/>
        <w:i/>
        <w:sz w:val="22"/>
      </w:rPr>
      <w:tab/>
      <w:t>4</w:t>
    </w:r>
  </w:p>
  <w:p w:rsidR="00000000" w:rsidRDefault="00F06DCC">
    <w:pPr>
      <w:pStyle w:val="Kopfzeile"/>
      <w:tabs>
        <w:tab w:val="clear" w:pos="4536"/>
        <w:tab w:val="left" w:pos="5245"/>
        <w:tab w:val="left" w:pos="6379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000000" w:rsidRDefault="00F06DC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12"/>
        <w:lvlJc w:val="left"/>
        <w:pPr>
          <w:ind w:left="312" w:hanging="312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1455-4FC9-4886-A0EE-51786B1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2000-05-15T07:06:00Z</cp:lastPrinted>
  <dcterms:created xsi:type="dcterms:W3CDTF">2021-07-14T09:24:00Z</dcterms:created>
  <dcterms:modified xsi:type="dcterms:W3CDTF">2021-07-14T09:24:00Z</dcterms:modified>
</cp:coreProperties>
</file>