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Fach Haushaltstechnik, Werkstoffkunde vermittelt den Schülern und Schülerinnen the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retische und praxisbezogene Grundlagen für ihre Tätigkeit als Dorfhelfer und Dorfhelferinnen.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erwerben dabei das erforderliche technische Gru</w:t>
      </w:r>
      <w:r>
        <w:rPr>
          <w:rFonts w:ascii="Arial" w:hAnsi="Arial"/>
          <w:sz w:val="22"/>
        </w:rPr>
        <w:t>ndlagenwissen, können die im Einsat</w:t>
      </w:r>
      <w:r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haushalt vorhandenen Geräte und Maschinen in den verschiedenen Arbeitsbereichen beu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teilen, auswählen, sachgerecht einsetzen und beherrschen gezielte Reinigungs- und Pfleg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maßnahmen zur Werterhaltung und Materialschonung.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Besondere Bedeutung haben neben der Arbeitssicherheit im haushaltstechnischen Bereich des Einsatzhaushaltes auch noch Energiesparmaßnahmen und Umwel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schutz.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Lehrplanübersicht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5528"/>
        <w:gridCol w:w="1126"/>
        <w:gridCol w:w="1125"/>
        <w:gridCol w:w="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2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528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achtheoretisches Halbjahr (FTH)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Haushaltstechnische Arbeitsverfahren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Wiederholung und Vertiefung</w:t>
            </w:r>
          </w:p>
        </w:tc>
        <w:tc>
          <w:tcPr>
            <w:tcW w:w="112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2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40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528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Hausreinigung und -pflege im Einsatzhau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halt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2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12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40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528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 xml:space="preserve">Arbeitssicherheit im haushaltstechnischen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Bereich des Einsatzhaushalts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Energiesparmaßnahmen und Umwel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schutz 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26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25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40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</w:tcPr>
          <w:p w:rsidR="00000000" w:rsidRDefault="00F06DCC">
            <w:pPr>
              <w:spacing w:line="360" w:lineRule="exac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74</w:t>
            </w:r>
          </w:p>
        </w:tc>
        <w:tc>
          <w:tcPr>
            <w:tcW w:w="94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3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8505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 </w:t>
      </w:r>
      <w:r>
        <w:rPr>
          <w:rFonts w:ascii="Arial" w:hAnsi="Arial"/>
          <w:b/>
          <w:sz w:val="22"/>
        </w:rPr>
        <w:tab/>
        <w:t>Hausreinigung und -pflege im Einsatzhaushalt</w:t>
      </w:r>
      <w:r>
        <w:rPr>
          <w:rFonts w:ascii="Arial" w:hAnsi="Arial"/>
          <w:b/>
          <w:sz w:val="22"/>
        </w:rPr>
        <w:tab/>
        <w:t xml:space="preserve"> 12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Eigenschaften von Verschmutzungen erkennen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Schmutzarten, Staub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Haftung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Löslichkeit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Zusammensetzung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auf Materialober-</w:t>
            </w:r>
            <w:r>
              <w:rPr>
                <w:rFonts w:ascii="Arial" w:hAnsi="Arial"/>
                <w:sz w:val="22"/>
              </w:rPr>
              <w:br/>
              <w:t>fl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chen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Reinigungs- und Pfl</w:t>
            </w:r>
            <w:r>
              <w:rPr>
                <w:rFonts w:ascii="Arial" w:hAnsi="Arial"/>
                <w:sz w:val="22"/>
              </w:rPr>
              <w:t>egemittel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wählen und </w:t>
            </w:r>
            <w:r>
              <w:rPr>
                <w:rFonts w:ascii="Arial" w:hAnsi="Arial"/>
                <w:sz w:val="22"/>
              </w:rPr>
              <w:br/>
              <w:t>einse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zen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Entspannungsmittel, Allzweckreiniger, Scheuermittel, Spezialreiniger, Sp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zialbehan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lungsmittel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Inhaltsstoffe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Wirkung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Dosierung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Anwendung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zur Arbeitssicherheit und zum Umwel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schutz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1. FTH, LPE 1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Hausreinigungs- und -pflegeauf-wand von Wer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stoffen beu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teilen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Ausstattungs- und Einrichtungsteile, Gebrauchsgegenstände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Materialart, Beschaffenheit, Vera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beitung, Fa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</w:t>
            </w:r>
          </w:p>
          <w:p w:rsidR="00000000" w:rsidRDefault="00F06DCC" w:rsidP="00F06DCC">
            <w:pPr>
              <w:numPr>
                <w:ilvl w:val="12"/>
                <w:numId w:val="0"/>
              </w:numPr>
              <w:tabs>
                <w:tab w:val="left" w:pos="5670"/>
              </w:tabs>
              <w:ind w:left="283" w:hanging="283"/>
              <w:rPr>
                <w:rFonts w:ascii="Arial" w:hAnsi="Arial"/>
                <w:sz w:val="22"/>
              </w:rPr>
            </w:pP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Verschmutzungsgrad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Hygieneanspruch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Betriebsmitteleinsatz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Fußboden (Hart-beläge, textil</w:t>
            </w:r>
            <w:r>
              <w:rPr>
                <w:rFonts w:ascii="Arial" w:hAnsi="Arial"/>
                <w:sz w:val="22"/>
              </w:rPr>
              <w:t>e Bel</w:t>
            </w:r>
            <w:r>
              <w:rPr>
                <w:rFonts w:ascii="Arial" w:hAnsi="Arial"/>
                <w:sz w:val="22"/>
              </w:rPr>
              <w:t>ä</w:t>
            </w:r>
            <w:r>
              <w:rPr>
                <w:rFonts w:ascii="Arial" w:hAnsi="Arial"/>
                <w:sz w:val="22"/>
              </w:rPr>
              <w:t>ge), Möbel, Heimtext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lien,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nitärbereich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Metalle, Glas, Porze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lan, Keramik, Holz, Kunststoff, 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der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3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4253"/>
          <w:tab w:val="left" w:pos="4536"/>
          <w:tab w:val="left" w:pos="5812"/>
          <w:tab w:val="left" w:pos="5954"/>
        </w:tabs>
        <w:spacing w:line="360" w:lineRule="exact"/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284" w:hanging="284"/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 </w:t>
      </w:r>
      <w:r>
        <w:rPr>
          <w:rFonts w:ascii="Arial" w:hAnsi="Arial"/>
          <w:b/>
          <w:sz w:val="22"/>
        </w:rPr>
        <w:tab/>
        <w:t>Arbeitssicherheit im haushaltstechnischen Bereich</w:t>
      </w:r>
      <w:r>
        <w:rPr>
          <w:rFonts w:ascii="Arial" w:hAnsi="Arial"/>
          <w:b/>
          <w:sz w:val="22"/>
        </w:rPr>
        <w:tab/>
        <w:t xml:space="preserve"> 6</w:t>
      </w:r>
      <w:r>
        <w:rPr>
          <w:rFonts w:ascii="Arial" w:hAnsi="Arial"/>
          <w:b/>
          <w:sz w:val="22"/>
        </w:rPr>
        <w:br/>
        <w:t>des Einsatzhaushaltes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Unfallgefahren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meiden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Unfallquell</w:t>
            </w:r>
            <w:r>
              <w:rPr>
                <w:rFonts w:ascii="Arial" w:hAnsi="Arial"/>
                <w:sz w:val="22"/>
              </w:rPr>
              <w:t>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menschliches Verhalten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bauliche Gegebenheiten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Einrichtungsgegenstände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haustechnische Geräte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Energiearten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Chemikalien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Arbeitsorganisation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Durchführung von Maßnahmen zur Arbeitssiche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heit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Sicherungseinrich-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tungen, Schutz-isolierung, Prüf-zeichen, Leistung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schilder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30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30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10, 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schaftslehre des Haushalts, Arbeitsle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re, Betriebsorganis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tion, Datenverarbe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 xml:space="preserve">tung 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Sicherheitsleitern, Zusatzbeleuchtung, Arbeitskle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dung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Sofortmaßnahmen bei Unfällen im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satzhaushalt einle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Unfälle durch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Elekt</w:t>
            </w:r>
            <w:r>
              <w:rPr>
                <w:rFonts w:ascii="Arial" w:hAnsi="Arial"/>
                <w:sz w:val="22"/>
              </w:rPr>
              <w:t>rizität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Gas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Feuer</w:t>
            </w:r>
          </w:p>
          <w:p w:rsidR="00000000" w:rsidRDefault="00F06DCC">
            <w:pPr>
              <w:tabs>
                <w:tab w:val="left" w:pos="5670"/>
              </w:tabs>
              <w:ind w:left="312" w:hanging="3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Erste Hilfemaßnahmen</w:t>
            </w:r>
          </w:p>
          <w:p w:rsidR="00000000" w:rsidRDefault="00F06DCC">
            <w:pPr>
              <w:tabs>
                <w:tab w:val="left" w:pos="5670"/>
              </w:tabs>
              <w:ind w:left="312" w:hanging="31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Technische Abhilfe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Brandschutzübung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6, Gesun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heitslehre, Kranken-, Altenpflege, Kinde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betre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 xml:space="preserve">ung 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ind w:left="284" w:hanging="284"/>
      </w:pPr>
    </w:p>
    <w:p w:rsidR="00000000" w:rsidRDefault="00F06DCC">
      <w:pPr>
        <w:tabs>
          <w:tab w:val="left" w:pos="8505"/>
        </w:tabs>
        <w:ind w:left="426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 </w:t>
      </w:r>
      <w:r>
        <w:rPr>
          <w:rFonts w:ascii="Arial" w:hAnsi="Arial"/>
          <w:b/>
          <w:sz w:val="22"/>
        </w:rPr>
        <w:tab/>
        <w:t>Energiesparmaßnahmen und Umweltschutz</w:t>
      </w:r>
      <w:r>
        <w:rPr>
          <w:rFonts w:ascii="Arial" w:hAnsi="Arial"/>
          <w:b/>
          <w:sz w:val="22"/>
        </w:rPr>
        <w:tab/>
        <w:t>6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Energie im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 veran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wortungsbewusst, wirtschaftlich und umweltschonend einsetzen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Energiesparende Nutzung von Geräten und Masch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nen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Regulierung von 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Wassertemperatur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Heizung</w:t>
            </w:r>
          </w:p>
          <w:p w:rsidR="00000000" w:rsidRDefault="00F06DCC" w:rsidP="00F06DCC">
            <w:pPr>
              <w:numPr>
                <w:ilvl w:val="12"/>
                <w:numId w:val="0"/>
              </w:numPr>
              <w:tabs>
                <w:tab w:val="left" w:pos="5670"/>
              </w:tabs>
              <w:ind w:left="283" w:hanging="283"/>
              <w:rPr>
                <w:rFonts w:ascii="Arial" w:hAnsi="Arial"/>
                <w:sz w:val="22"/>
              </w:rPr>
            </w:pPr>
          </w:p>
          <w:p w:rsidR="00000000" w:rsidRDefault="00F06DCC" w:rsidP="00F06DCC">
            <w:pPr>
              <w:numPr>
                <w:ilvl w:val="0"/>
                <w:numId w:val="2"/>
              </w:num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Wasserverbrauch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Regelmäßige Wa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Thermostat, Temp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raturabsenkung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 Energi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arten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Wasserenthä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ung</w:t>
            </w:r>
          </w:p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Abfälle im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 umweltb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wusst entsorgen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Müllvermeidung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Müllentsorgung</w:t>
            </w:r>
          </w:p>
          <w:p w:rsidR="00000000" w:rsidRDefault="00F06DCC" w:rsidP="00F06DCC">
            <w:pPr>
              <w:numPr>
                <w:ilvl w:val="0"/>
                <w:numId w:val="3"/>
              </w:numPr>
              <w:tabs>
                <w:tab w:val="left" w:pos="5670"/>
              </w:tabs>
              <w:ind w:left="356" w:hanging="3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Wertstoffe</w:t>
            </w:r>
          </w:p>
          <w:p w:rsidR="00000000" w:rsidRDefault="00F06DCC" w:rsidP="00F06DCC">
            <w:pPr>
              <w:numPr>
                <w:ilvl w:val="0"/>
                <w:numId w:val="3"/>
              </w:numPr>
              <w:tabs>
                <w:tab w:val="left" w:pos="5670"/>
              </w:tabs>
              <w:ind w:left="356" w:hanging="3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Restmüll</w:t>
            </w:r>
          </w:p>
          <w:p w:rsidR="00000000" w:rsidRDefault="00F06DCC" w:rsidP="00F06DCC">
            <w:pPr>
              <w:numPr>
                <w:ilvl w:val="0"/>
                <w:numId w:val="3"/>
              </w:numPr>
              <w:tabs>
                <w:tab w:val="left" w:pos="5670"/>
              </w:tabs>
              <w:ind w:left="356" w:hanging="3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Biomüll</w:t>
            </w:r>
          </w:p>
          <w:p w:rsidR="00000000" w:rsidRDefault="00F06DCC" w:rsidP="00F06DCC">
            <w:pPr>
              <w:numPr>
                <w:ilvl w:val="0"/>
                <w:numId w:val="3"/>
              </w:numPr>
              <w:tabs>
                <w:tab w:val="left" w:pos="5670"/>
              </w:tabs>
              <w:ind w:left="356" w:hanging="35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Sondermüll</w:t>
            </w:r>
          </w:p>
          <w:p w:rsidR="00000000" w:rsidRDefault="00F06DCC">
            <w:pPr>
              <w:tabs>
                <w:tab w:val="left" w:pos="5670"/>
              </w:tabs>
              <w:ind w:left="28" w:hanging="2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Regelungen von Kommunen, Lan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kreis</w:t>
            </w:r>
          </w:p>
        </w:tc>
      </w:tr>
    </w:tbl>
    <w:p w:rsidR="00000000" w:rsidRDefault="00F06DCC"/>
    <w:p w:rsidR="00000000" w:rsidRDefault="00F06DCC"/>
    <w:p w:rsidR="00000000" w:rsidRDefault="00F06DCC"/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663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 xml:space="preserve">Ministerium Ländlicher Raum - Abt. 4, Ref. 47, Frauen, Familie und 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>Fachschule für ländlich-hauswirtschaftliche Beruf</w:t>
    </w:r>
    <w:r>
      <w:rPr>
        <w:rFonts w:ascii="Arial" w:hAnsi="Arial"/>
        <w:sz w:val="20"/>
      </w:rPr>
      <w:t xml:space="preserve">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Haushaltstechnik, Werkstoffkunde</w:t>
    </w:r>
    <w:r>
      <w:rPr>
        <w:rFonts w:ascii="Arial" w:hAnsi="Arial"/>
        <w:sz w:val="20"/>
      </w:rPr>
      <w:t xml:space="preserve"> 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haushaltstechnik.doc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  <w:r>
      <w:t>46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3</w:t>
    </w:r>
  </w:p>
  <w:p w:rsidR="00000000" w:rsidRDefault="00F06DCC">
    <w:pPr>
      <w:pStyle w:val="Kopfzeile"/>
      <w:tabs>
        <w:tab w:val="clear" w:pos="4536"/>
      </w:tabs>
    </w:pPr>
    <w:r>
      <w:rPr>
        <w:rFonts w:ascii="Arial" w:hAnsi="Arial"/>
        <w:b/>
        <w:i/>
        <w:sz w:val="22"/>
      </w:rPr>
      <w:tab/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51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12"/>
        <w:lvlJc w:val="left"/>
        <w:pPr>
          <w:ind w:left="312" w:hanging="312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"/>
        <w:lvlJc w:val="left"/>
        <w:pPr>
          <w:ind w:left="28" w:hanging="28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FE426-642D-47E5-959B-A628413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2000-05-15T07:08:00Z</cp:lastPrinted>
  <dcterms:created xsi:type="dcterms:W3CDTF">2021-07-14T09:40:00Z</dcterms:created>
  <dcterms:modified xsi:type="dcterms:W3CDTF">2021-07-14T09:40:00Z</dcterms:modified>
</cp:coreProperties>
</file>