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Fach Wirtschaftslehre des Haushalts, Arbeitslehre, Betriebsorganisation, Datenverarbe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tung werden den Schülern und Schülerinnen Kenntnisse und Fertigkeiten vermittelt, die sie in die Lage versetzen, ihnen anvertraute Familienhaus</w:t>
      </w:r>
      <w:r>
        <w:rPr>
          <w:rFonts w:ascii="Arial" w:hAnsi="Arial"/>
          <w:sz w:val="22"/>
        </w:rPr>
        <w:t>halte entsprechend der Bedarfsstruktur und der zur Verfügung stehenden Mittel selbstständig zu führen. Großes Verantwortungsb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wusstsein, gepaart mit der notwendigen Sozialkompetenz und Offenheit für neue Haushalt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situationen schaffen die Voraussetzungen dafür, den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ruf erfolgreich auszuüben.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Ziele und Lerninhalte zur Geldwirtschaft sind anhand von Buchführungsbeispielen zu ve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mitteln. Das Aufzeichnen von Einnahmen und Ausgaben des eigenen oder elterlichen Hau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halts ist anzustreben. Im Bereich der Arbeitswi</w:t>
      </w:r>
      <w:r>
        <w:rPr>
          <w:rFonts w:ascii="Arial" w:hAnsi="Arial"/>
          <w:sz w:val="22"/>
        </w:rPr>
        <w:t>rtschaft sind schwerpunktmäßig Übungen zur Arbeitsgestaltung einzubeziehen, die im Sinne einer vollständigen Handlung selbstständig zu planen, durchzuführen und zu kontrollieren sind. Die Schüler und Schülerinnen werden bef</w:t>
      </w:r>
      <w:r>
        <w:rPr>
          <w:rFonts w:ascii="Arial" w:hAnsi="Arial"/>
          <w:sz w:val="22"/>
        </w:rPr>
        <w:t>ä</w:t>
      </w:r>
      <w:r>
        <w:rPr>
          <w:rFonts w:ascii="Arial" w:hAnsi="Arial"/>
          <w:sz w:val="22"/>
        </w:rPr>
        <w:t>higt, Arbeiten im hauswirtschaftlichen Bereich nach Qualitätsstandards, Arbeitszeitaufwand und Kosten zu beurteilen.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während der Ausbildung erworbenen Fähigkeiten fördern das Verständnis, Haushaltsle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stungen im gesellschaftlichen und volkswirtschaftlichen Kontext zu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urteilen.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Zur U</w:t>
      </w:r>
      <w:r>
        <w:rPr>
          <w:rFonts w:ascii="Arial" w:hAnsi="Arial"/>
          <w:sz w:val="22"/>
        </w:rPr>
        <w:t>nterstützung des Managements im Haushalt ist Datenverarbeitung einzuse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zen.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37"/>
        <w:gridCol w:w="1100"/>
        <w:gridCol w:w="1144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</w:t>
            </w:r>
            <w:r>
              <w:rPr>
                <w:rFonts w:ascii="Arial" w:hAnsi="Arial"/>
                <w:b/>
                <w:sz w:val="22"/>
              </w:rPr>
              <w:br/>
              <w:t>halb-jahr</w:t>
            </w:r>
          </w:p>
        </w:tc>
        <w:tc>
          <w:tcPr>
            <w:tcW w:w="5137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37" w:type="dxa"/>
          </w:tcPr>
          <w:p w:rsidR="00000000" w:rsidRDefault="00F06DCC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Fachtheoretisches Halbjahr (FTH) 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Der Haushalt und seine Aufgaben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Arbeitswirtschaft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 xml:space="preserve">Bauen und Wohnen und die Folgen für die </w:t>
            </w:r>
            <w:r>
              <w:rPr>
                <w:rFonts w:ascii="Arial" w:hAnsi="Arial"/>
                <w:sz w:val="22"/>
              </w:rPr>
              <w:tab/>
              <w:t>Haushaltsführung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Geldwirtschaft I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Wiederholung und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00" w:type="dxa"/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</w:t>
            </w:r>
          </w:p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10" w:type="dxa"/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37" w:type="dxa"/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Raumgruppen im Einsatzhaushalt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ab/>
              <w:t>Bedarfsdeckung im Einsatzhaushalt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ab/>
              <w:t>Datenverarbeit</w:t>
            </w:r>
            <w:r>
              <w:rPr>
                <w:rFonts w:ascii="Arial" w:hAnsi="Arial"/>
                <w:sz w:val="22"/>
              </w:rPr>
              <w:t>ung im Einsatzhaushalt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ab/>
              <w:t>Arbeitsgestaltung im Einsatzhaushalt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0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91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37" w:type="dxa"/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ab/>
              <w:t>Kostenrechnung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ab/>
              <w:t xml:space="preserve">Organisation von Aufgaben in einzelnen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beitsbereichen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0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5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5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5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91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37" w:type="dxa"/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ab/>
              <w:t>Geldwirtschaftliche Vorgänge im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ab/>
              <w:t xml:space="preserve">Der Einsatzhaushalt in Gesellschaft und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Volkswirtschaft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0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1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37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355"/>
              </w:tabs>
              <w:spacing w:before="60" w:after="60" w:line="250" w:lineRule="exact"/>
              <w:rPr>
                <w:rFonts w:ascii="Arial" w:hAnsi="Arial"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331</w:t>
            </w:r>
          </w:p>
        </w:tc>
        <w:tc>
          <w:tcPr>
            <w:tcW w:w="91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 w:line="250" w:lineRule="exact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 </w:t>
      </w:r>
      <w:r>
        <w:rPr>
          <w:rFonts w:ascii="Arial" w:hAnsi="Arial"/>
          <w:b/>
          <w:sz w:val="22"/>
        </w:rPr>
        <w:tab/>
        <w:t>Raumgruppen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Ausstattung und Einrichtung der Wirtschafts- und Sanitärräume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urteilen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Raumbedarf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Installation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Einrichtung</w:t>
            </w:r>
            <w:r>
              <w:rPr>
                <w:rFonts w:ascii="Arial" w:hAnsi="Arial"/>
                <w:sz w:val="22"/>
              </w:rPr>
              <w:t>steile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Arbeitszentren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Zusatzeinrichtungen für Kinder, ält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 Menschen, Behinderte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Grundrisszeich-</w:t>
            </w:r>
            <w:r>
              <w:rPr>
                <w:rFonts w:ascii="Arial" w:hAnsi="Arial"/>
                <w:sz w:val="22"/>
              </w:rPr>
              <w:br/>
              <w:t>nungen und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richtungsbeispiele (Prospekte)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Kriterien für wohnliches und funktionelles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stalten des Wohn- und Schlafbere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ches aufstellen und bewerten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Gebrauchswert/Qualität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Stell- und Bewegungsfl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chen/Anordnung der Möbel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Reinigungs- und Pflegeau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wand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Fußboden, Wan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verkleidung, Möbel, Heimtextil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Gestaltungs-</w:t>
            </w:r>
            <w:r>
              <w:rPr>
                <w:rFonts w:ascii="Arial" w:hAnsi="Arial"/>
                <w:sz w:val="22"/>
              </w:rPr>
              <w:br/>
              <w:t>elemente des Wohn- und Schlafbereiches beurteilen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Farbe, Form, Material, Muster,</w:t>
            </w:r>
            <w:r>
              <w:rPr>
                <w:rFonts w:ascii="Arial" w:hAnsi="Arial"/>
                <w:sz w:val="22"/>
              </w:rPr>
              <w:br/>
              <w:t>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leuc</w:t>
            </w:r>
            <w:r>
              <w:rPr>
                <w:rFonts w:ascii="Arial" w:hAnsi="Arial"/>
                <w:sz w:val="22"/>
              </w:rPr>
              <w:t>htung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6 </w:t>
      </w:r>
      <w:r>
        <w:rPr>
          <w:rFonts w:ascii="Arial" w:hAnsi="Arial"/>
          <w:b/>
          <w:sz w:val="22"/>
        </w:rPr>
        <w:tab/>
        <w:t>Bedarfsdeckung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Bedarfe von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satzfamilien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mitteln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Bedarfsstrukturen im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landwirtschaftlichen Unterne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mer-haushalt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Arbeitnehmerhaushalt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 zu Es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gewohnheiten, Fre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zeitverhalten, 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sprüche an Leben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gestaltung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Mittel des 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halts d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finieren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Mittelpotential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Güter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Rechte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Einkommen,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mögen, Arbeitsk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pazität, Leistungen, Nutzungen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Entscheidungen über die Verwe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dung vorhandener Haushaltsmittel tre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fen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Bedarfsdeckung im H</w:t>
            </w:r>
            <w:r>
              <w:rPr>
                <w:rFonts w:ascii="Arial" w:hAnsi="Arial"/>
                <w:sz w:val="22"/>
              </w:rPr>
              <w:t>aushalt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Entscheidungsprozess</w:t>
            </w:r>
            <w:r>
              <w:rPr>
                <w:rFonts w:ascii="Arial" w:hAnsi="Arial"/>
                <w:sz w:val="22"/>
              </w:rPr>
              <w:br/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Akzeptieren der Entscheidungsfi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dung der Familie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Haushaltsziele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Bildung einer Zielhiera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chie</w:t>
            </w: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Problemstellungs-, Such-, Beurtei-</w:t>
            </w:r>
            <w:r>
              <w:rPr>
                <w:rFonts w:ascii="Arial" w:hAnsi="Arial"/>
                <w:sz w:val="22"/>
              </w:rPr>
              <w:br/>
              <w:t>lungs-, Entsche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dungs-, Realisat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ons-, Ko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trollphase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Zielinhalt, -ausmaß, zei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licher Bezug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Ober- und Unte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ziele</w:t>
            </w:r>
          </w:p>
        </w:tc>
      </w:tr>
    </w:tbl>
    <w:p w:rsidR="00000000" w:rsidRDefault="00F06DCC"/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 </w:t>
      </w:r>
      <w:r>
        <w:rPr>
          <w:rFonts w:ascii="Arial" w:hAnsi="Arial"/>
          <w:b/>
          <w:sz w:val="22"/>
        </w:rPr>
        <w:tab/>
        <w:t>Datenverarbeitung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Haushaltsbuch mit Hilfe der T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bellenkalkulation führen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Kalkulationstabelle 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Text- und Werteingabe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Formeln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Drucken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Vorgegebene oder selbsterstellte T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belle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Informative Schrifts</w:t>
            </w:r>
            <w:r>
              <w:rPr>
                <w:rFonts w:ascii="Arial" w:hAnsi="Arial"/>
                <w:sz w:val="22"/>
              </w:rPr>
              <w:t>tücke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Einladungen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Anzeigen, Plakate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Grafik-Elemente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Elektronische Kommunikations-</w:t>
            </w:r>
            <w:r>
              <w:rPr>
                <w:rFonts w:ascii="Arial" w:hAnsi="Arial"/>
                <w:sz w:val="22"/>
              </w:rPr>
              <w:br/>
              <w:t>möglichkeiten nu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zen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Anhängen an E-Mails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Öffnen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Kontrollieren auf Viren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Weiterverarbeiten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7.4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Internet-Zugang kontrollieren und einstellen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Browser-Einstellung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History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Lesezeichen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7.5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Zugang zum Computer kontro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lieren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BIOS-Passwortschutz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Benutzerprofile, Anme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dezeiten</w:t>
            </w: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 </w:t>
      </w:r>
      <w:r>
        <w:rPr>
          <w:rFonts w:ascii="Arial" w:hAnsi="Arial"/>
          <w:b/>
          <w:sz w:val="22"/>
        </w:rPr>
        <w:tab/>
        <w:t>Arbeitsgestaltung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Arbeitssysteme gestalten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6-Stufen-Methode der Arbeitsge-s</w:t>
            </w:r>
            <w:r>
              <w:rPr>
                <w:rFonts w:ascii="Arial" w:hAnsi="Arial"/>
                <w:sz w:val="22"/>
              </w:rPr>
              <w:t>taltung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Ziele setzen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Aufgabe abgrenzen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Ideale Lösungen s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chen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Daten sammeln, praktikable L</w:t>
            </w:r>
            <w:r>
              <w:rPr>
                <w:rFonts w:ascii="Arial" w:hAnsi="Arial"/>
                <w:sz w:val="22"/>
              </w:rPr>
              <w:t>ö</w:t>
            </w:r>
            <w:r>
              <w:rPr>
                <w:rFonts w:ascii="Arial" w:hAnsi="Arial"/>
                <w:sz w:val="22"/>
              </w:rPr>
              <w:t>sungen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wickeln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Optimale Lösungen auswä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len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Lösung einführen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Arbeitsabläufe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überpr</w:t>
            </w:r>
            <w:r>
              <w:rPr>
                <w:rFonts w:ascii="Arial" w:hAnsi="Arial"/>
                <w:sz w:val="22"/>
              </w:rPr>
              <w:t>ü</w:t>
            </w:r>
            <w:r>
              <w:rPr>
                <w:rFonts w:ascii="Arial" w:hAnsi="Arial"/>
                <w:sz w:val="22"/>
              </w:rPr>
              <w:t>fen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Arbeitsablaufgliederung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Bestimmung der Ablau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arten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Prüfen von Arbeitswegen mit Hilfe der Wegestudie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Auswertung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Planungsansätze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Makro-, Mikroa</w:t>
            </w:r>
            <w:r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läufe, Ablaufanalyse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Fadendiagramm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Arbeitsabläufe (neu)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stalten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Bestimmen 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Arbeitsablaufabschnitte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Arbeitsplatz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Dauer und Reihenfo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Auftragszeiten (V</w:t>
            </w:r>
            <w:r>
              <w:rPr>
                <w:rFonts w:ascii="Arial" w:hAnsi="Arial"/>
                <w:sz w:val="22"/>
              </w:rPr>
              <w:t>orgabezeiten)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Darstellungsformen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Leitsätze zur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beitsg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staltung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Bilder, Symbole, Beschreibung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8.4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Methoden der Zeitermittlung darstellen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Erfassen von 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IST-Zeiten (selbst aufschreiben, vereinfachte Zei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aufnahme)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SOLL-Zeiten (vergleichen und schätzen, Richtwerte, Pla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daten)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Zeitstudien durc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führen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Verwendung von SOLL-Daten aus KTBL-Katalog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Kurzkalkulation „Arbeitszeitbedarf“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8.5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Arbeitspläne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Tages-, Wochen- und M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natspläne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Fristenplan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Arbeitsverteilung auf eine oder me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rere Personen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8.6</w:t>
            </w:r>
          </w:p>
        </w:tc>
        <w:tc>
          <w:tcPr>
            <w:tcW w:w="2126" w:type="dxa"/>
          </w:tcPr>
          <w:p w:rsidR="00000000" w:rsidRDefault="00F06DCC">
            <w:pPr>
              <w:ind w:right="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Hauswirtschaftliche Arbeitsaufgaben in schriftlicher Form bearbeiten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Ausarbeitung von Arbeitsaufgaben in Anlehnung an die Arbeitssystem-</w:t>
            </w:r>
            <w:r>
              <w:rPr>
                <w:rFonts w:ascii="Arial" w:hAnsi="Arial"/>
                <w:sz w:val="22"/>
              </w:rPr>
              <w:br/>
              <w:t>el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mente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Speisenzubereitung, Vorratsha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Hausgartenbau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Vermarktung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Beherbergung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Mögliche Ergänzung aus 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Hausreinigung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Wäschepflege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Textilverarbeitung, Werken und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stalten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Kranken-, Alte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pflege, Kinderb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treuung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1. FTH, LPE 10</w:t>
            </w:r>
          </w:p>
        </w:tc>
      </w:tr>
    </w:tbl>
    <w:p w:rsidR="00000000" w:rsidRDefault="00F06DCC"/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</w:t>
            </w:r>
            <w:r>
              <w:rPr>
                <w:rFonts w:ascii="Arial" w:hAnsi="Arial"/>
                <w:sz w:val="22"/>
              </w:rPr>
              <w:t>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 </w:t>
      </w:r>
      <w:r>
        <w:rPr>
          <w:rFonts w:ascii="Arial" w:hAnsi="Arial"/>
          <w:b/>
          <w:sz w:val="22"/>
        </w:rPr>
        <w:tab/>
        <w:t>Kostenrechnung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der Kostenrechnung für den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 erfassen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Begriffssystematik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Ermittlung des Leistungse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folgs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Vorstufe für Vergleiche und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scheidu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Kontrolle des Haushaltsgesch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hens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Kosten, Leistung, Au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wand, Ertrag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Gesamtkosten für hauswirtschaftliche Dienstleistungen ermitteln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Hausgartenbau, Vermarktung,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herbe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gung:</w:t>
            </w:r>
            <w:r>
              <w:rPr>
                <w:rFonts w:ascii="Arial" w:hAnsi="Arial"/>
                <w:sz w:val="22"/>
              </w:rPr>
              <w:br/>
              <w:t xml:space="preserve">Einzel- und Gemeinkosten, </w:t>
            </w:r>
            <w:r>
              <w:rPr>
                <w:rFonts w:ascii="Arial" w:hAnsi="Arial"/>
                <w:sz w:val="22"/>
              </w:rPr>
              <w:br/>
              <w:t xml:space="preserve">mengen- und zeitabhängige Kosten, variable und fixe Kosten, </w:t>
            </w:r>
            <w:r>
              <w:rPr>
                <w:rFonts w:ascii="Arial" w:hAnsi="Arial"/>
                <w:sz w:val="22"/>
              </w:rPr>
              <w:br/>
              <w:t>Material-, Betriebs-, Kapital-, Pers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nalkosten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Beispiele: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Speisenzubereitung, Vorratshaltung, Hausreinigung, </w:t>
            </w:r>
            <w:r>
              <w:rPr>
                <w:rFonts w:ascii="Arial" w:hAnsi="Arial"/>
                <w:sz w:val="22"/>
              </w:rPr>
              <w:br/>
              <w:t>W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Wirtschaftlichkeits-berechnungen durchführen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Beurteilung von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Arbeitsverfahren, -methoden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Materialeinsatz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Leistungserstellung 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Kostenvergleichs-</w:t>
            </w:r>
            <w:r>
              <w:rPr>
                <w:rFonts w:ascii="Arial" w:hAnsi="Arial"/>
                <w:sz w:val="22"/>
              </w:rPr>
              <w:br/>
              <w:t>rechnungen: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Maschinenkosten, Kosten des Arbeit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platzes, Kosten bei Eigenleistung oder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gabe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</w:rPr>
        <w:lastRenderedPageBreak/>
        <w:t>3</w:t>
      </w:r>
      <w:r>
        <w:rPr>
          <w:rFonts w:ascii="Arial" w:hAnsi="Arial"/>
          <w:b/>
          <w:sz w:val="22"/>
        </w:rPr>
        <w:t>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10 </w:t>
      </w:r>
      <w:r>
        <w:rPr>
          <w:rFonts w:ascii="Arial" w:hAnsi="Arial"/>
          <w:b/>
          <w:sz w:val="22"/>
        </w:rPr>
        <w:tab/>
        <w:t>Organisation von Aufgaben</w:t>
      </w:r>
      <w:r>
        <w:rPr>
          <w:rFonts w:ascii="Arial" w:hAnsi="Arial"/>
          <w:b/>
          <w:sz w:val="22"/>
        </w:rPr>
        <w:t xml:space="preserve"> in einzelnen Arbeitsbereichen</w:t>
      </w:r>
      <w:r>
        <w:rPr>
          <w:rFonts w:ascii="Arial" w:hAnsi="Arial"/>
          <w:b/>
          <w:sz w:val="22"/>
        </w:rPr>
        <w:tab/>
        <w:t>40</w:t>
      </w:r>
    </w:p>
    <w:p w:rsidR="00000000" w:rsidRDefault="00F06D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Arbeitsaufgaben im Einsatzhau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 durchführen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Speisenzubereitung, Vorratshaltung, Hausgartenbau, Vermarktung und Beherbergung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Arbeitsbeschreibung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Datenermittlung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Arbeitsgestaltung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und Kosten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Arbeitsablauf, -platz, </w:t>
            </w:r>
            <w:r>
              <w:rPr>
                <w:rFonts w:ascii="Arial" w:hAnsi="Arial"/>
                <w:sz w:val="22"/>
              </w:rPr>
              <w:br/>
              <w:t xml:space="preserve">-haltung, -bewegung, 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Betriebsmittel,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8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Durchführung von Arbeitsaufgaben im Einsatzhau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 beurteilen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Kontrolle/Bewertung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Qualität der Arbeit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Vergleich des Arbeitsergebnisses mit der Aufgabe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Folgerungen für die zukünftige Praxis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Expertengespräche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11 </w:t>
      </w:r>
      <w:r>
        <w:rPr>
          <w:rFonts w:ascii="Arial" w:hAnsi="Arial"/>
          <w:b/>
          <w:sz w:val="22"/>
        </w:rPr>
        <w:tab/>
        <w:t>Geldwirtschaftliche Vorgänge im Einsatzhaushalt</w:t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Geldvorgänge und Bestandsve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änderungen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fassen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Aufzeichnen von Einnahmen und Ausgaben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Zielsetzung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Haushaltskassenbuch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Geldberichte „Kasse“, „Bank“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Erfass</w:t>
            </w:r>
            <w:r>
              <w:rPr>
                <w:rFonts w:ascii="Arial" w:hAnsi="Arial"/>
                <w:sz w:val="22"/>
              </w:rPr>
              <w:t>ung der Natura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vorgänge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Kalkulation der veränderlichen und festen Kosten an einer Bedarfsgru</w:t>
            </w:r>
            <w:r>
              <w:rPr>
                <w:rFonts w:ascii="Arial" w:hAnsi="Arial"/>
                <w:sz w:val="22"/>
              </w:rPr>
              <w:t>p</w:t>
            </w:r>
            <w:r>
              <w:rPr>
                <w:rFonts w:ascii="Arial" w:hAnsi="Arial"/>
                <w:sz w:val="22"/>
              </w:rPr>
              <w:t>pe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Selbstkontrolle, Nac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weis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Belegorganisation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Buchungsbeispiele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KTBL-Daten-sammlung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Haushaltsauf-</w:t>
            </w:r>
            <w:r>
              <w:rPr>
                <w:rFonts w:ascii="Arial" w:hAnsi="Arial"/>
                <w:sz w:val="22"/>
              </w:rPr>
              <w:br/>
              <w:t>wand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urteilen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Geldbedarf in einzelnen Lebens-</w:t>
            </w:r>
            <w:r>
              <w:rPr>
                <w:rFonts w:ascii="Arial" w:hAnsi="Arial"/>
                <w:sz w:val="22"/>
              </w:rPr>
              <w:br/>
              <w:t>ph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sen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Ausgaben für den privaten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brauch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Bewertung der Ergebni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se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Auswertungen der laufenden Wirtschaft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rechnungen/Einko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mens- und Verbrauch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stichproben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Erwerbs- und Unte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haltsbereich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Vergleichsdaten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12 </w:t>
      </w:r>
      <w:r>
        <w:rPr>
          <w:rFonts w:ascii="Arial" w:hAnsi="Arial"/>
          <w:b/>
          <w:sz w:val="22"/>
        </w:rPr>
        <w:tab/>
        <w:t>Der Einsatzhaushalt in Ge</w:t>
      </w:r>
      <w:r>
        <w:rPr>
          <w:rFonts w:ascii="Arial" w:hAnsi="Arial"/>
          <w:b/>
          <w:sz w:val="22"/>
        </w:rPr>
        <w:t>sellschaft und Volkswirtschaft</w:t>
      </w:r>
      <w:r>
        <w:rPr>
          <w:rFonts w:ascii="Arial" w:hAnsi="Arial"/>
          <w:b/>
          <w:sz w:val="22"/>
        </w:rPr>
        <w:tab/>
        <w:t>15</w:t>
      </w:r>
    </w:p>
    <w:p w:rsidR="00000000" w:rsidRDefault="00F06D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</w:t>
            </w:r>
          </w:p>
        </w:tc>
        <w:tc>
          <w:tcPr>
            <w:tcW w:w="2126" w:type="dxa"/>
          </w:tcPr>
          <w:p w:rsidR="00000000" w:rsidRDefault="00F06DCC">
            <w:pPr>
              <w:ind w:right="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Einsatzhaushalt als Wirtschaftseinheit erklären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Wirtschaften als Grundlage 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hälterischen Handelns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Stellung im Wirtschaft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kreislauf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Bruttoinlandsprodukt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Beteiligung des 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halts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Aussagekraft</w:t>
            </w:r>
          </w:p>
        </w:tc>
        <w:tc>
          <w:tcPr>
            <w:tcW w:w="2335" w:type="dxa"/>
          </w:tcPr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Produktion von Gütern und Dienstleistungen durch Einsatz der Produkt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onsfaktoren 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Unterhalts- und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werbswirtschaften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Anteil des privaten Verbrauchs in der Verwe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dungsrech-nung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Problem der Scha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tenwirtschaft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</w:t>
            </w:r>
          </w:p>
        </w:tc>
        <w:tc>
          <w:tcPr>
            <w:tcW w:w="2126" w:type="dxa"/>
          </w:tcPr>
          <w:p w:rsidR="00000000" w:rsidRDefault="00F06DCC">
            <w:pPr>
              <w:ind w:right="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Haushalts-</w:t>
            </w:r>
            <w:r>
              <w:rPr>
                <w:rFonts w:ascii="Arial" w:hAnsi="Arial"/>
                <w:sz w:val="22"/>
              </w:rPr>
              <w:br/>
              <w:t>leistungen ken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zeichnen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Übernahme der Aufgaben i</w:t>
            </w:r>
            <w:r>
              <w:rPr>
                <w:rFonts w:ascii="Arial" w:hAnsi="Arial"/>
                <w:sz w:val="22"/>
              </w:rPr>
              <w:t>n den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reichen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Versorgung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Erziehung und Bi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Betreuung und Pflege</w:t>
            </w:r>
          </w:p>
          <w:p w:rsidR="00000000" w:rsidRDefault="00F06DCC" w:rsidP="00F06DCC">
            <w:pPr>
              <w:numPr>
                <w:ilvl w:val="12"/>
                <w:numId w:val="0"/>
              </w:numPr>
              <w:ind w:left="-328"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auf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 und Volkswir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</w:t>
            </w:r>
          </w:p>
        </w:tc>
        <w:tc>
          <w:tcPr>
            <w:tcW w:w="2126" w:type="dxa"/>
          </w:tcPr>
          <w:p w:rsidR="00000000" w:rsidRDefault="00F06DCC">
            <w:pPr>
              <w:ind w:right="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Erwerbskombi-</w:t>
            </w:r>
            <w:r>
              <w:rPr>
                <w:rFonts w:ascii="Arial" w:hAnsi="Arial"/>
                <w:sz w:val="22"/>
              </w:rPr>
              <w:br/>
              <w:t>nationen im lan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wirtschaftlichen Einsatzhaushalt beschreiben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Voraussetzungen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persönliche, familiäre, fachl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betriebliche, rechtl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wirtschaftlicher Standort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Erwerbskombinationen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Direktvermarktung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Bäuerliche Gästebeherbe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gung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Dienstleistungen im hauswir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schaftlichen Bereich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für den landwirtschaf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lichen Unternehmerhau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Blumen zum</w:t>
            </w:r>
            <w:r>
              <w:rPr>
                <w:rFonts w:ascii="Arial" w:hAnsi="Arial"/>
                <w:sz w:val="22"/>
              </w:rPr>
              <w:t xml:space="preserve"> Selbstpflücken, Teic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wirtschaft, Ab-Hof-Verkauf, Pr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duktversand, Ba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ernhofcafé, Kinde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geburtstage, Kur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zeitbetreuung, Bäuerinnen-Service, Tagesmütter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663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>Ministerium Ländlicher Raum - Abt. 4, Ref. 47, Frauen, Familie und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</w:t>
    </w:r>
    <w:r>
      <w:rPr>
        <w:rFonts w:ascii="Arial" w:hAnsi="Arial"/>
        <w:sz w:val="20"/>
      </w:rPr>
      <w:t>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19"/>
      </w:rPr>
      <w:t>Wirtschaftslehre des Haushalts, Arbeitslehre, Betriebsorganisation, Datenverarbeitung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wirtschaftslehre.doc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1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3</w:t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  <w:t>4</w:t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</w:r>
  </w:p>
  <w:p w:rsidR="00000000" w:rsidRDefault="00F06DCC">
    <w:pPr>
      <w:pStyle w:val="Kopfzeile"/>
      <w:tabs>
        <w:tab w:val="clear" w:pos="4536"/>
      </w:tabs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7DAC-9404-4564-A545-49007E6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1388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2000-05-15T06:58:00Z</cp:lastPrinted>
  <dcterms:created xsi:type="dcterms:W3CDTF">2021-07-14T09:23:00Z</dcterms:created>
  <dcterms:modified xsi:type="dcterms:W3CDTF">2021-07-14T09:23:00Z</dcterms:modified>
</cp:coreProperties>
</file>